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10.vsdx" ContentType="application/vnd.ms-visio.drawing"/>
  <Override PartName="/word/embeddings/Microsoft_Visio___11.vsdx" ContentType="application/vnd.ms-visio.drawing"/>
  <Override PartName="/word/embeddings/Microsoft_Visio___12.vsdx" ContentType="application/vnd.ms-visio.drawing"/>
  <Override PartName="/word/embeddings/Microsoft_Visio___13.vsdx" ContentType="application/vnd.ms-visio.drawing"/>
  <Override PartName="/word/embeddings/Microsoft_Visio___14.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17.vsdx" ContentType="application/vnd.ms-visio.drawing"/>
  <Override PartName="/word/embeddings/Microsoft_Visio___18.vsdx" ContentType="application/vnd.ms-visio.drawing"/>
  <Override PartName="/word/embeddings/Microsoft_Visio___19.vsdx" ContentType="application/vnd.ms-visio.drawing"/>
  <Override PartName="/word/embeddings/Microsoft_Visio___2.vsdx" ContentType="application/vnd.ms-visio.drawing"/>
  <Override PartName="/word/embeddings/Microsoft_Visio___20.vsdx" ContentType="application/vnd.ms-visio.drawing"/>
  <Override PartName="/word/embeddings/Microsoft_Visio___21.vsdx" ContentType="application/vnd.ms-visio.drawing"/>
  <Override PartName="/word/embeddings/Microsoft_Visio___22.vsdx" ContentType="application/vnd.ms-visio.drawing"/>
  <Override PartName="/word/embeddings/Microsoft_Visio___23.vsdx" ContentType="application/vnd.ms-visio.drawing"/>
  <Override PartName="/word/embeddings/Microsoft_Visio___24.vsdx" ContentType="application/vnd.ms-visio.drawing"/>
  <Override PartName="/word/embeddings/Microsoft_Visio___25.vsdx" ContentType="application/vnd.ms-visio.drawing"/>
  <Override PartName="/word/embeddings/Microsoft_Visio___26.vsdx" ContentType="application/vnd.ms-visio.drawing"/>
  <Override PartName="/word/embeddings/Microsoft_Visio___27.vsdx" ContentType="application/vnd.ms-visio.drawing"/>
  <Override PartName="/word/embeddings/Microsoft_Visio___28.vsdx" ContentType="application/vnd.ms-visio.drawing"/>
  <Override PartName="/word/embeddings/Microsoft_Visio___29.vsdx" ContentType="application/vnd.ms-visio.drawing"/>
  <Override PartName="/word/embeddings/Microsoft_Visio___3.vsdx" ContentType="application/vnd.ms-visio.drawing"/>
  <Override PartName="/word/embeddings/Microsoft_Visio___30.vsdx" ContentType="application/vnd.ms-visio.drawing"/>
  <Override PartName="/word/embeddings/Microsoft_Visio___31.vsdx" ContentType="application/vnd.ms-visio.drawing"/>
  <Override PartName="/word/embeddings/Microsoft_Visio___32.vsdx" ContentType="application/vnd.ms-visio.drawing"/>
  <Override PartName="/word/embeddings/Microsoft_Visio___33.vsdx" ContentType="application/vnd.ms-visio.drawing"/>
  <Override PartName="/word/embeddings/Microsoft_Visio___34.vsdx" ContentType="application/vnd.ms-visio.drawing"/>
  <Override PartName="/word/embeddings/Microsoft_Visio___35.vsdx" ContentType="application/vnd.ms-visio.drawing"/>
  <Override PartName="/word/embeddings/Microsoft_Visio___36.vsdx" ContentType="application/vnd.ms-visio.drawing"/>
  <Override PartName="/word/embeddings/Microsoft_Visio___37.vsdx" ContentType="application/vnd.ms-visio.drawing"/>
  <Override PartName="/word/embeddings/Microsoft_Visio___38.vsdx" ContentType="application/vnd.ms-visio.drawing"/>
  <Override PartName="/word/embeddings/Microsoft_Visio___39.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7.vsdx" ContentType="application/vnd.ms-visio.drawing"/>
  <Override PartName="/word/embeddings/Microsoft_Visio___8.vsdx" ContentType="application/vnd.ms-visio.drawing"/>
  <Override PartName="/word/embeddings/Microsoft_Visio___9.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5F5886">
      <w:pPr>
        <w:pStyle w:val="122"/>
        <w:framePr w:wrap="around"/>
        <w:rPr>
          <w:rFonts w:ascii="Times New Roman"/>
        </w:rPr>
      </w:pPr>
      <w:bookmarkStart w:id="55" w:name="_GoBack"/>
      <w:bookmarkEnd w:id="55"/>
      <w:r>
        <w:rPr>
          <w:rFonts w:ascii="Times New Roman"/>
        </w:rPr>
        <w:t>ICS</w:t>
      </w:r>
    </w:p>
    <w:p w14:paraId="0CD55DA8">
      <w:pPr>
        <w:pStyle w:val="122"/>
        <w:framePr w:wrap="around"/>
      </w:pPr>
      <w:r>
        <w:rPr>
          <w:rFonts w:ascii="Times New Roman"/>
        </w:rPr>
        <w:t>CCS</w:t>
      </w:r>
    </w:p>
    <w:tbl>
      <w:tblPr>
        <w:tblStyle w:val="2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5"/>
      </w:tblGrid>
      <w:tr w14:paraId="180480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5" w:type="dxa"/>
            <w:tcBorders>
              <w:top w:val="nil"/>
              <w:left w:val="nil"/>
              <w:bottom w:val="nil"/>
              <w:right w:val="nil"/>
            </w:tcBorders>
            <w:shd w:val="clear" w:color="auto" w:fill="auto"/>
          </w:tcPr>
          <w:p w14:paraId="41B0A00E">
            <w:pPr>
              <w:pStyle w:val="122"/>
              <w:framePr w:wrap="around"/>
            </w:pPr>
          </w:p>
        </w:tc>
      </w:tr>
    </w:tbl>
    <w:p w14:paraId="7BE4D583">
      <w:pPr>
        <w:pStyle w:val="109"/>
        <w:framePr w:wrap="around" w:y="2026"/>
        <w:rPr>
          <w:rFonts w:hint="eastAsia"/>
          <w:sz w:val="72"/>
          <w:szCs w:val="72"/>
        </w:rPr>
      </w:pPr>
      <w:r>
        <w:rPr>
          <w:rFonts w:hint="eastAsia"/>
          <w:sz w:val="72"/>
          <w:szCs w:val="72"/>
        </w:rPr>
        <w:t>团体标准</w:t>
      </w:r>
    </w:p>
    <w:p w14:paraId="08E2A344">
      <w:pPr>
        <w:pStyle w:val="39"/>
        <w:framePr w:wrap="around"/>
      </w:pPr>
      <w:r>
        <w:rPr>
          <w:rFonts w:hint="eastAsia" w:ascii="Times New Roman"/>
        </w:rPr>
        <w:t>T</w:t>
      </w:r>
      <w:r>
        <w:rPr>
          <w:rFonts w:ascii="Times New Roman"/>
        </w:rPr>
        <w:t>/</w:t>
      </w:r>
      <w:r>
        <w:rPr>
          <w:rFonts w:hint="eastAsia" w:ascii="Times New Roman"/>
        </w:rPr>
        <w:t>CNEA</w:t>
      </w:r>
      <w:bookmarkStart w:id="0" w:name="StdNo1"/>
      <w:r>
        <w:rPr>
          <w:rFonts w:hint="eastAsia" w:ascii="Times New Roman"/>
        </w:rPr>
        <w:t xml:space="preserve"> </w:t>
      </w:r>
      <w:r>
        <w:fldChar w:fldCharType="begin">
          <w:ffData>
            <w:name w:val="StdNo1"/>
            <w:enabled/>
            <w:calcOnExit w:val="0"/>
            <w:textInput>
              <w:default w:val="XXXX"/>
            </w:textInput>
          </w:ffData>
        </w:fldChar>
      </w:r>
      <w:r>
        <w:instrText xml:space="preserve"> FORMTEXT </w:instrText>
      </w:r>
      <w:r>
        <w:fldChar w:fldCharType="separate"/>
      </w:r>
      <w:r>
        <w:t>XXXX</w:t>
      </w:r>
      <w:r>
        <w:fldChar w:fldCharType="end"/>
      </w:r>
      <w:bookmarkEnd w:id="0"/>
      <w:r>
        <w:t>—</w:t>
      </w:r>
      <w:bookmarkStart w:id="1" w:name="StdNo2"/>
      <w:r>
        <w:fldChar w:fldCharType="begin">
          <w:ffData>
            <w:name w:val="StdNo2"/>
            <w:enabled/>
            <w:calcOnExit w:val="0"/>
            <w:textInput>
              <w:default w:val="XXXX"/>
              <w:maxLength w:val="4"/>
            </w:textInput>
          </w:ffData>
        </w:fldChar>
      </w:r>
      <w:r>
        <w:instrText xml:space="preserve"> FORMTEXT </w:instrText>
      </w:r>
      <w:r>
        <w:fldChar w:fldCharType="separate"/>
      </w:r>
      <w:r>
        <w:t>XXXX</w:t>
      </w:r>
      <w:r>
        <w:fldChar w:fldCharType="end"/>
      </w:r>
      <w:bookmarkEnd w:id="1"/>
    </w:p>
    <w:tbl>
      <w:tblPr>
        <w:tblStyle w:val="2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6"/>
      </w:tblGrid>
      <w:tr w14:paraId="44C529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6" w:type="dxa"/>
            <w:tcBorders>
              <w:top w:val="nil"/>
              <w:left w:val="nil"/>
              <w:bottom w:val="nil"/>
              <w:right w:val="nil"/>
            </w:tcBorders>
            <w:shd w:val="clear" w:color="auto" w:fill="auto"/>
          </w:tcPr>
          <w:p w14:paraId="25564EE4">
            <w:pPr>
              <w:pStyle w:val="68"/>
              <w:framePr w:wrap="around"/>
            </w:pPr>
            <w:bookmarkStart w:id="2" w:name="DT"/>
            <w:r>
              <mc:AlternateContent>
                <mc:Choice Requires="wps">
                  <w:drawing>
                    <wp:anchor distT="0" distB="0" distL="114300" distR="114300" simplePos="0" relativeHeight="251661312" behindDoc="1" locked="0" layoutInCell="1" allowOverlap="1">
                      <wp:simplePos x="0" y="0"/>
                      <wp:positionH relativeFrom="column">
                        <wp:posOffset>4734560</wp:posOffset>
                      </wp:positionH>
                      <wp:positionV relativeFrom="paragraph">
                        <wp:posOffset>34290</wp:posOffset>
                      </wp:positionV>
                      <wp:extent cx="1143000" cy="228600"/>
                      <wp:effectExtent l="0" t="0" r="3175" b="0"/>
                      <wp:wrapNone/>
                      <wp:docPr id="5" name="DT"/>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DT" o:spid="_x0000_s1026" o:spt="1" style="position:absolute;left:0pt;margin-left:372.8pt;margin-top:2.7pt;height:18pt;width:90pt;z-index:-251655168;mso-width-relative:page;mso-height-relative:page;" fillcolor="#FFFFFF" filled="t" stroked="f" coordsize="21600,21600" o:gfxdata="UEsDBAoAAAAAAIdO4kAAAAAAAAAAAAAAAAAEAAAAZHJzL1BLAwQUAAAACACHTuJAHmDyy9YAAAAI&#10;AQAADwAAAGRycy9kb3ducmV2LnhtbE2PMU/DMBSEdyT+g/WQ2KidkoQ2jdMBqRMw0CKxvsavSUT8&#10;HGKnDf8ed4LxdKe778rtbHtxptF3jjUkCwWCuHam40bDx2H3sALhA7LB3jFp+CEP2+r2psTCuAu/&#10;03kfGhFL2BeooQ1hKKT0dUsW/cINxNE7udFiiHJspBnxEsttL5dK5dJix3GhxYGeW6q/9pPVgHlq&#10;vt9Oj6+HlynHdTOrXfaptL6/S9QGRKA5/IXhih/RoYpMRzex8aLX8JRmeYxqyFIQ0V8vr/qoIU1S&#10;kFUp/x+ofgFQSwMEFAAAAAgAh07iQOl1ToMJAgAAIAQAAA4AAABkcnMvZTJvRG9jLnhtbK1TwW7b&#10;MAy9D9g/CLovtrO064w4RZEgw4BuK9DuAxRZtoXJokbJcbKvHyWnWdZdepgPBimST3yP1PL20Bu2&#10;V+g12IoXs5wzZSXU2rYV//60fXfDmQ/C1sKAVRU/Ks9vV2/fLEdXqjl0YGqFjECsL0dX8S4EV2aZ&#10;l53qhZ+BU5aCDWAvArnYZjWKkdB7k83z/DobAWuHIJX3dLqZgvyEiK8BhKbRUm1ADr2yYUJFZUQg&#10;Sr7TzvNV6rZplAzfmsarwEzFiWlIf7qE7F38Z6ulKFsUrtPy1IJ4TQsvOPVCW7r0DLURQbAB9T9Q&#10;vZYIHpowk9BnE5GkCLEo8hfaPHbCqcSFpPbuLLr/f7Dy6/4Bma4rfsWZFT0NfPMUVRmdLyn46B4w&#10;8vLuHuQPzyysO2FbdYcIY6dETb0UMT/7qyA6nkrZbvwCNYGKIUAS6NBgHwGJOjukORzPc1CHwCQd&#10;FsXifZ7TiCTF5vOba7LjFaJ8rnbowycFPYtGxZHmnNDF/t6HKfU5JXUPRtdbbUxysN2tDbK9oJ3Y&#10;pu+E7i/TjI3JFmLZhBhPEs3IbFJoB/WRWCJMi0XPiowO8BdnIy1Vxf3PQaDizHy2pNTHYrGIW5ic&#10;xdWHOTl4GdldRoSVBFXxwNlkrsO0uYND3XZ0U5FIW7gjdRudiEflp65OzdLiJOlOSx4389JPWX8e&#10;9uo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HmDyy9YAAAAIAQAADwAAAAAAAAABACAAAAAiAAAA&#10;ZHJzL2Rvd25yZXYueG1sUEsBAhQAFAAAAAgAh07iQOl1ToMJAgAAIAQAAA4AAAAAAAAAAQAgAAAA&#10;JQEAAGRycy9lMm9Eb2MueG1sUEsFBgAAAAAGAAYAWQEAAKAFAAAAAA==&#10;">
                      <v:fill on="t" focussize="0,0"/>
                      <v:stroke on="f"/>
                      <v:imagedata o:title=""/>
                      <o:lock v:ext="edit" aspectratio="f"/>
                    </v:rect>
                  </w:pict>
                </mc:Fallback>
              </mc:AlternateContent>
            </w:r>
            <w:bookmarkEnd w:id="2"/>
          </w:p>
        </w:tc>
      </w:tr>
    </w:tbl>
    <w:p w14:paraId="7CF74A05">
      <w:pPr>
        <w:pStyle w:val="39"/>
        <w:framePr w:wrap="around"/>
      </w:pPr>
    </w:p>
    <w:p w14:paraId="1E1041B2">
      <w:pPr>
        <w:pStyle w:val="39"/>
        <w:framePr w:wrap="around"/>
      </w:pPr>
    </w:p>
    <w:p w14:paraId="610F8029">
      <w:pPr>
        <w:pStyle w:val="70"/>
        <w:framePr w:wrap="around" w:x="1074" w:y="5272"/>
      </w:pPr>
      <w:r>
        <w:rPr>
          <w:rFonts w:hint="eastAsia" w:hAnsi="宋体"/>
          <w:szCs w:val="52"/>
        </w:rPr>
        <w:t>核电厂气体绝缘金属封闭输电线路（GIL）盆式绝缘子缺陷评估导则</w:t>
      </w:r>
    </w:p>
    <w:p w14:paraId="7C4B8994">
      <w:pPr>
        <w:pStyle w:val="71"/>
        <w:framePr w:wrap="around" w:x="1074" w:y="5272"/>
      </w:pPr>
      <w:r>
        <w:t xml:space="preserve">Guidelines for Defect Assessment of </w:t>
      </w:r>
      <w:r>
        <w:rPr>
          <w:rFonts w:hint="eastAsia"/>
        </w:rPr>
        <w:t>Basin</w:t>
      </w:r>
      <w:r>
        <w:t xml:space="preserve"> Type Insulators in Gas Insulated Metal-Enclosed Transmission Lines (GIL) for Nuclear Power Plants</w:t>
      </w:r>
    </w:p>
    <w:tbl>
      <w:tblPr>
        <w:tblStyle w:val="2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855"/>
      </w:tblGrid>
      <w:tr w14:paraId="6D0021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27AC8111">
            <w:pPr>
              <w:pStyle w:val="72"/>
              <w:framePr w:wrap="around" w:x="1074" w:y="5272"/>
            </w:pPr>
            <w:bookmarkStart w:id="3" w:name="YZBS"/>
            <w:r>
              <w:fldChar w:fldCharType="begin">
                <w:ffData>
                  <w:name w:val="YZBS"/>
                  <w:enabled/>
                  <w:calcOnExit w:val="0"/>
                  <w:textInput>
                    <w:default w:val="点击此处添加与国际标准一致性程度的标识"/>
                  </w:textInput>
                </w:ffData>
              </w:fldChar>
            </w:r>
            <w:r>
              <w:instrText xml:space="preserve"> FORMTEXT </w:instrText>
            </w:r>
            <w:r>
              <w:fldChar w:fldCharType="separate"/>
            </w:r>
            <w:r>
              <w:rPr>
                <w:rFonts w:hint="eastAsia"/>
              </w:rPr>
              <w:t>NEQ</w:t>
            </w:r>
            <w:r>
              <w:fldChar w:fldCharType="end"/>
            </w:r>
            <w:bookmarkEnd w:id="3"/>
            <w:r>
              <mc:AlternateContent>
                <mc:Choice Requires="wps">
                  <w:drawing>
                    <wp:anchor distT="0" distB="0" distL="114300" distR="114300" simplePos="0" relativeHeight="251663360" behindDoc="1" locked="1" layoutInCell="1" allowOverlap="1">
                      <wp:simplePos x="0" y="0"/>
                      <wp:positionH relativeFrom="column">
                        <wp:posOffset>2200910</wp:posOffset>
                      </wp:positionH>
                      <wp:positionV relativeFrom="paragraph">
                        <wp:posOffset>573405</wp:posOffset>
                      </wp:positionV>
                      <wp:extent cx="1905000" cy="254000"/>
                      <wp:effectExtent l="0" t="0" r="3175" b="3175"/>
                      <wp:wrapNone/>
                      <wp:docPr id="4" name="RQ"/>
                      <wp:cNvGraphicFramePr/>
                      <a:graphic xmlns:a="http://schemas.openxmlformats.org/drawingml/2006/main">
                        <a:graphicData uri="http://schemas.microsoft.com/office/word/2010/wordprocessingShape">
                          <wps:wsp>
                            <wps:cNvSpPr>
                              <a:spLocks noChangeArrowheads="1"/>
                            </wps:cNvSpPr>
                            <wps:spPr bwMode="auto">
                              <a:xfrm>
                                <a:off x="0" y="0"/>
                                <a:ext cx="1905000" cy="25400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RQ" o:spid="_x0000_s1026" o:spt="1" style="position:absolute;left:0pt;margin-left:173.3pt;margin-top:45.15pt;height:20pt;width:150pt;z-index:-251653120;mso-width-relative:page;mso-height-relative:page;" fillcolor="#FFFFFF" filled="t" stroked="f" coordsize="21600,21600" o:gfxdata="UEsDBAoAAAAAAIdO4kAAAAAAAAAAAAAAAAAEAAAAZHJzL1BLAwQUAAAACACHTuJABYmuktUAAAAK&#10;AQAADwAAAGRycy9kb3ducmV2LnhtbE2PwU7DMAyG70h7h8iTuLFkdESsNN0BaSfgsA2Jq9d4bUWT&#10;lCbdyttjdoGjf3/6/bnYTK4TZxpiG7yB5UKBIF8F2/rawPthe/cIIib0FrvgycA3RdiUs5sCcxsu&#10;fkfnfaoFl/iYo4EmpT6XMlYNOYyL0JPn3SkMDhOPQy3tgBcud528V0pLh63nCw329NxQ9bkfnQHU&#10;K/v1dspeDy+jxnU9qe3DhzLmdr5UTyASTekPhl99VoeSnY5h9DaKzkC20ppRA2uVgWBAX4Mjkxkn&#10;sizk/xfKH1BLAwQUAAAACACHTuJAbG1PugkCAAAgBAAADgAAAGRycy9lMm9Eb2MueG1srVPBbtsw&#10;DL0P2D8Iui+2g2RbjThFkSDDgG5r1+4DFFm2hcmiRilxsq8fJadZ1l56mA8GKZJPfI/U4vrQG7ZX&#10;6DXYiheTnDNlJdTathX/8bh595EzH4SthQGrKn5Unl8v375ZDK5UU+jA1AoZgVhfDq7iXQiuzDIv&#10;O9ULPwGnLAUbwF4EcrHNahQDofcmm+b5+2wArB2CVN7T6XoM8hMivgYQmkZLtQa565UNIyoqIwJR&#10;8p12ni9Tt02jZPjWNF4FZipOTEP60yVkb+M/Wy5E2aJwnZanFsRrWnjGqRfa0qVnqLUIgu1Qv4Dq&#10;tUTw0ISJhD4biSRFiEWRP9PmoRNOJS4ktXdn0f3/g5Vf93fIdF3xGWdW9DTw7/dRlcH5koIP7g4j&#10;L+9uQf70zMKqE7ZVN4gwdErU1EsR87N/CqLjqZRthy9QE6jYBUgCHRrsIyBRZ4c0h+N5DuoQmKTD&#10;4iqf5zmNSFJsOp9FO14hyqdqhz58UtCzaFQcac4JXexvfRhTn1JS92B0vdHGJAfb7cog2wvaiU36&#10;Tuj+Ms3YmGwhlo2I8STRjMxGhbZQH4klwrhY9KzI6AB/czbQUlXc/9oJVJyZz5aUuipms7iFyZnN&#10;P0zJwcvI9jIirCSoigfORnMVxs3dOdRtRzcVibSFG1K30Yl4VH7s6tQsLU6S7rTkcTMv/ZT192Ev&#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Fia6S1QAAAAoBAAAPAAAAAAAAAAEAIAAAACIAAABk&#10;cnMvZG93bnJldi54bWxQSwECFAAUAAAACACHTuJAbG1PugkCAAAgBAAADgAAAAAAAAABACAAAAAk&#10;AQAAZHJzL2Uyb0RvYy54bWxQSwUGAAAAAAYABgBZAQAAnwUAAAAA&#10;">
                      <v:fill on="t" focussize="0,0"/>
                      <v:stroke on="f"/>
                      <v:imagedata o:title=""/>
                      <o:lock v:ext="edit" aspectratio="f"/>
                      <w10:anchorlock/>
                    </v:rect>
                  </w:pict>
                </mc:Fallback>
              </mc:AlternateContent>
            </w:r>
            <w:r>
              <mc:AlternateContent>
                <mc:Choice Requires="wps">
                  <w:drawing>
                    <wp:anchor distT="0" distB="0" distL="114300" distR="114300" simplePos="0" relativeHeight="251662336" behindDoc="1" locked="0" layoutInCell="1" allowOverlap="1">
                      <wp:simplePos x="0" y="0"/>
                      <wp:positionH relativeFrom="column">
                        <wp:posOffset>2454910</wp:posOffset>
                      </wp:positionH>
                      <wp:positionV relativeFrom="paragraph">
                        <wp:posOffset>255905</wp:posOffset>
                      </wp:positionV>
                      <wp:extent cx="1270000" cy="304800"/>
                      <wp:effectExtent l="3175" t="0" r="3175" b="3175"/>
                      <wp:wrapNone/>
                      <wp:docPr id="3" name="LB"/>
                      <wp:cNvGraphicFramePr/>
                      <a:graphic xmlns:a="http://schemas.openxmlformats.org/drawingml/2006/main">
                        <a:graphicData uri="http://schemas.microsoft.com/office/word/2010/wordprocessingShape">
                          <wps:wsp>
                            <wps:cNvSpPr>
                              <a:spLocks noChangeArrowheads="1"/>
                            </wps:cNvSpPr>
                            <wps:spPr bwMode="auto">
                              <a:xfrm>
                                <a:off x="0" y="0"/>
                                <a:ext cx="1270000" cy="30480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LB" o:spid="_x0000_s1026" o:spt="1" style="position:absolute;left:0pt;margin-left:193.3pt;margin-top:20.15pt;height:24pt;width:100pt;z-index:-251654144;mso-width-relative:page;mso-height-relative:page;" fillcolor="#FFFFFF" filled="t" stroked="f" coordsize="21600,21600" o:gfxdata="UEsDBAoAAAAAAIdO4kAAAAAAAAAAAAAAAAAEAAAAZHJzL1BLAwQUAAAACACHTuJAA+GL5dYAAAAJ&#10;AQAADwAAAGRycy9kb3ducmV2LnhtbE2PwU7DMAyG70i8Q2QkbiwZ3aJSmu6AtBNwYEPi6jVeW9E4&#10;pUm38vYELuxo+9Pv7y83s+vFicbQeTawXCgQxLW3HTcG3vfbuxxEiMgWe89k4JsCbKrrqxIL68/8&#10;RqddbEQK4VCggTbGoZAy1C05DAs/EKfb0Y8OYxrHRtoRzync9fJeKS0ddpw+tDjQU0v1525yBlCv&#10;7NfrMXvZP08aH5pZbdcfypjbm6V6BBFpjv8w/OondaiS08FPbIPoDWS51gk1sFIZiASs/xYHA3me&#10;gaxKedmg+gFQSwMEFAAAAAgAh07iQBxxlwgJAgAAIAQAAA4AAABkcnMvZTJvRG9jLnhtbK1TwW7b&#10;MAy9D9g/CLovttNs7Yw4RZcgw4BsK9DuAxRZtoXJokYpcbKvHyWnWdZeepgOAimST3xP1Pz20Bu2&#10;V+g12IoXk5wzZSXU2rYV//G4fnfDmQ/C1sKAVRU/Ks9vF2/fzAdXqil0YGqFjECsLwdX8S4EV2aZ&#10;l53qhZ+AU5aCDWAvArnYZjWKgdB7k03z/EM2ANYOQSrv6XQ1BvkJEV8DCE2jpVqB3PXKhhEVlRGB&#10;KPlOO88XqdumUTJ8bxqvAjMVJ6Yh7XQJ2du4Z4u5KFsUrtPy1IJ4TQvPOPVCW7r0DLUSQbAd6hdQ&#10;vZYIHpowkdBnI5GkCLEo8mfaPHTCqcSFpPbuLLr/f7Dy2/4ema4rfsWZFT09+OZTVGVwvqTgg7vH&#10;yMu7DcifnllYdsK26g4Rhk6JmnopYn72T0F0PJWy7fAVagIVuwBJoEODfQQk6uyQ3uF4fgd1CEzS&#10;YTG9zmlxJil2lc9uyI5XiPKp2qEPnxX0LBoVR3rnhC72Gx/G1KeU1D0YXa+1McnBdrs0yPaCZmKd&#10;1gndX6YZG5MtxLIRMZ4kmpHZqNAW6iOxRBgHi74VGR3gb84GGqqK+187gYoz88WSUh+L2SxOYXJm&#10;76+n5OBlZHsZEVYSVMUDZ6O5DOPk7hzqtqObikTawh2p2+hEPCo/dnVqlgYnSXca8jiZl37K+vux&#10;F3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A+GL5dYAAAAJAQAADwAAAAAAAAABACAAAAAiAAAA&#10;ZHJzL2Rvd25yZXYueG1sUEsBAhQAFAAAAAgAh07iQBxxlwgJAgAAIAQAAA4AAAAAAAAAAQAgAAAA&#10;JQEAAGRycy9lMm9Eb2MueG1sUEsFBgAAAAAGAAYAWQEAAKAFAAAAAA==&#10;">
                      <v:fill on="t" focussize="0,0"/>
                      <v:stroke on="f"/>
                      <v:imagedata o:title=""/>
                      <o:lock v:ext="edit" aspectratio="f"/>
                    </v:rect>
                  </w:pict>
                </mc:Fallback>
              </mc:AlternateContent>
            </w:r>
          </w:p>
        </w:tc>
      </w:tr>
      <w:tr w14:paraId="564EA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45995C30">
            <w:pPr>
              <w:pStyle w:val="74"/>
              <w:framePr w:wrap="around" w:x="1074" w:y="5272"/>
            </w:pPr>
            <w:bookmarkStart w:id="4" w:name="WCRQ"/>
            <w:r>
              <w:fldChar w:fldCharType="begin">
                <w:ffData>
                  <w:name w:val="WCRQ"/>
                  <w:enabled/>
                  <w:calcOnExit w:val="0"/>
                  <w:textInput/>
                </w:ffData>
              </w:fldChar>
            </w:r>
            <w:r>
              <w:instrText xml:space="preserve"> FORMTEXT </w:instrText>
            </w:r>
            <w:r>
              <w:fldChar w:fldCharType="separate"/>
            </w:r>
            <w:r>
              <w:rPr>
                <w:rFonts w:hint="eastAsia"/>
              </w:rPr>
              <w:t>（本稿完成日期：2025.12.06）</w:t>
            </w:r>
            <w:r>
              <w:fldChar w:fldCharType="end"/>
            </w:r>
            <w:bookmarkEnd w:id="4"/>
          </w:p>
        </w:tc>
      </w:tr>
    </w:tbl>
    <w:p w14:paraId="7BE4A1BC">
      <w:pPr>
        <w:pStyle w:val="130"/>
        <w:framePr w:wrap="around" w:hAnchor="page" w:x="940" w:y="14150"/>
      </w:pPr>
      <w:bookmarkStart w:id="5" w:name="FY"/>
      <w:r>
        <w:rPr>
          <w:rFonts w:ascii="黑体"/>
        </w:rPr>
        <w:fldChar w:fldCharType="begin">
          <w:ffData>
            <w:name w:val="FY"/>
            <w:enabled/>
            <w:calcOnExit w:val="0"/>
            <w:entryMacro w:val="ShowHelp8"/>
            <w:textInput>
              <w:default w:val="XXXX"/>
              <w:maxLength w:val="4"/>
            </w:textInput>
          </w:ffData>
        </w:fldChar>
      </w:r>
      <w:r>
        <w:rPr>
          <w:rFonts w:ascii="黑体"/>
        </w:rPr>
        <w:instrText xml:space="preserve"> FORMTEXT </w:instrText>
      </w:r>
      <w:r>
        <w:rPr>
          <w:rFonts w:ascii="黑体"/>
        </w:rPr>
        <w:fldChar w:fldCharType="separate"/>
      </w:r>
      <w:r>
        <w:rPr>
          <w:rFonts w:ascii="黑体"/>
        </w:rPr>
        <w:t>XXXX</w:t>
      </w:r>
      <w:r>
        <w:rPr>
          <w:rFonts w:ascii="黑体"/>
        </w:rPr>
        <w:fldChar w:fldCharType="end"/>
      </w:r>
      <w:bookmarkEnd w:id="5"/>
      <w:r>
        <w:t xml:space="preserve"> </w:t>
      </w:r>
      <w:r>
        <w:rPr>
          <w:rFonts w:ascii="黑体"/>
        </w:rPr>
        <w:t>-</w:t>
      </w:r>
      <w:r>
        <w:t xml:space="preserve"> </w:t>
      </w:r>
      <w:r>
        <w:rPr>
          <w:rFonts w:ascii="黑体"/>
        </w:rPr>
        <w:fldChar w:fldCharType="begin">
          <w:ffData>
            <w:name w:val="FM"/>
            <w:enabled/>
            <w:calcOnExit w:val="0"/>
            <w:entryMacro w:val="ShowHelp8"/>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r>
        <w:t xml:space="preserve"> </w:t>
      </w:r>
      <w:r>
        <w:rPr>
          <w:rFonts w:ascii="黑体"/>
        </w:rPr>
        <w:t>-</w:t>
      </w:r>
      <w:r>
        <w:t xml:space="preserve"> </w:t>
      </w:r>
      <w:bookmarkStart w:id="6" w:name="FD"/>
      <w:r>
        <w:rPr>
          <w:rFonts w:ascii="黑体"/>
        </w:rPr>
        <w:fldChar w:fldCharType="begin">
          <w:ffData>
            <w:name w:val="FD"/>
            <w:enabled/>
            <w:calcOnExit w:val="0"/>
            <w:entryMacro w:val="ShowHelp8"/>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6"/>
      <w:r>
        <w:rPr>
          <w:rFonts w:hint="eastAsia"/>
        </w:rPr>
        <w:t>发布</w:t>
      </w:r>
      <w:r>
        <mc:AlternateContent>
          <mc:Choice Requires="wps">
            <w:drawing>
              <wp:anchor distT="0" distB="0" distL="114300" distR="114300" simplePos="0" relativeHeight="251659264" behindDoc="0" locked="1" layoutInCell="1" allowOverlap="1">
                <wp:simplePos x="0" y="0"/>
                <wp:positionH relativeFrom="column">
                  <wp:posOffset>-635</wp:posOffset>
                </wp:positionH>
                <wp:positionV relativeFrom="page">
                  <wp:posOffset>9251950</wp:posOffset>
                </wp:positionV>
                <wp:extent cx="6120130" cy="0"/>
                <wp:effectExtent l="8890" t="3175" r="5080" b="6350"/>
                <wp:wrapNone/>
                <wp:docPr id="2" name="Line 10"/>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Line 10" o:spid="_x0000_s1026" o:spt="20" style="position:absolute;left:0pt;margin-left:-0.05pt;margin-top:728.5pt;height:0pt;width:481.9pt;mso-position-vertical-relative:page;z-index:251659264;mso-width-relative:page;mso-height-relative:page;" filled="f" stroked="t" coordsize="21600,21600" o:gfxdata="UEsDBAoAAAAAAIdO4kAAAAAAAAAAAAAAAAAEAAAAZHJzL1BLAwQUAAAACACHTuJAJYdrPNYAAAAL&#10;AQAADwAAAGRycy9kb3ducmV2LnhtbE2PPU/DMBCGdyT+g3VILFVrp4UWQpwOQDaWllas1+RIIuJz&#10;Grsf8Os5BgTjvffo/ciWZ9epIw2h9WwhmRhQxKWvWq4tbF6L8R2oEJEr7DyThU8KsMwvLzJMK3/i&#10;FR3XsVZiwiFFC02Mfap1KBtyGCa+J5bfux8cRjmHWlcDnsTcdXpqzFw7bFkSGuzpsaHyY31wFkKx&#10;pX3xNSpH5m1We5run16e0drrq8Q8gIp0jn8w/NSX6pBLp50/cBVUZ2GcCCjyze1CNglwP58tQO1+&#10;JZ1n+v+G/BtQSwMEFAAAAAgAh07iQDdlmv3KAQAAoAMAAA4AAABkcnMvZTJvRG9jLnhtbK1TTW/b&#10;MAy9D9h/EHRfHGdosRlxekjQXbItQLsfoEiyLUwSBVGJnX8/Svlo1116mA+CKJKPfI/08mFylh11&#10;RAO+5fVszpn2EpTxfct/PT9++sIZJuGVsOB1y08a+cPq44flGBq9gAGs0pERiMdmDC0fUgpNVaEc&#10;tBM4g6A9OTuITiQyY1+pKEZCd7ZazOf31QhRhQhSI9Lr5uzkF8T4HkDoOiP1BuTBaZ/OqFFbkYgS&#10;DiYgX5Vuu07L9LPrUCdmW05MUzmpCN33+axWS9H0UYTByEsL4j0tvOHkhPFU9Aa1EUmwQzT/QDkj&#10;IyB0aSbBVWciRRFiUc/faPM0iKALF5Iaw010/H+w8sdxF5lRLV9w5oWjgW+N16wu0owBG4pY+13M&#10;5OTkn8IW5G9kHtaD8L0uLT6fAuXVWczqr5RsYKAC+/E7KIoRhwRFp6mLLkOSAmwq4zjdxqGnxCQ9&#10;3tekyWealLz6KtFcE0PE9E2DY/nScktNF2Bx3GLKjYjmGpLreHg01pZpW8/Gln+9W9yVBARrVHbm&#10;MIz9fm0jO4q8L+UrrMjzOizCwatzEesvpDPPvHbY7EGddvEqBg2udHNZsrwZr+2S/fJjrf4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JYdrPNYAAAALAQAADwAAAAAAAAABACAAAAAiAAAAZHJzL2Rv&#10;d25yZXYueG1sUEsBAhQAFAAAAAgAh07iQDdlmv3KAQAAoAMAAA4AAAAAAAAAAQAgAAAAJQEAAGRy&#10;cy9lMm9Eb2MueG1sUEsFBgAAAAAGAAYAWQEAAGEFAAAAAA==&#10;">
                <v:fill on="f" focussize="0,0"/>
                <v:stroke color="#000000" joinstyle="round"/>
                <v:imagedata o:title=""/>
                <o:lock v:ext="edit" aspectratio="f"/>
                <w10:anchorlock/>
              </v:line>
            </w:pict>
          </mc:Fallback>
        </mc:AlternateContent>
      </w:r>
    </w:p>
    <w:p w14:paraId="48FD0E1F">
      <w:pPr>
        <w:pStyle w:val="131"/>
        <w:framePr w:wrap="around" w:hAnchor="page" w:x="7414" w:y="14037"/>
      </w:pPr>
      <w:bookmarkStart w:id="7" w:name="SY"/>
      <w:r>
        <w:rPr>
          <w:rFonts w:ascii="黑体"/>
        </w:rPr>
        <w:fldChar w:fldCharType="begin">
          <w:ffData>
            <w:name w:val="SY"/>
            <w:enabled/>
            <w:calcOnExit w:val="0"/>
            <w:entryMacro w:val="ShowHelp9"/>
            <w:textInput>
              <w:default w:val="XXXX"/>
              <w:maxLength w:val="4"/>
            </w:textInput>
          </w:ffData>
        </w:fldChar>
      </w:r>
      <w:r>
        <w:rPr>
          <w:rFonts w:ascii="黑体"/>
        </w:rPr>
        <w:instrText xml:space="preserve"> FORMTEXT </w:instrText>
      </w:r>
      <w:r>
        <w:rPr>
          <w:rFonts w:ascii="黑体"/>
        </w:rPr>
        <w:fldChar w:fldCharType="separate"/>
      </w:r>
      <w:r>
        <w:rPr>
          <w:rFonts w:ascii="黑体"/>
        </w:rPr>
        <w:t>XXXX</w:t>
      </w:r>
      <w:r>
        <w:rPr>
          <w:rFonts w:ascii="黑体"/>
        </w:rPr>
        <w:fldChar w:fldCharType="end"/>
      </w:r>
      <w:bookmarkEnd w:id="7"/>
      <w:r>
        <w:t xml:space="preserve"> </w:t>
      </w:r>
      <w:r>
        <w:rPr>
          <w:rFonts w:ascii="黑体"/>
        </w:rPr>
        <w:t>-</w:t>
      </w:r>
      <w:r>
        <w:t xml:space="preserve"> </w:t>
      </w:r>
      <w:bookmarkStart w:id="8" w:name="SM"/>
      <w:r>
        <w:rPr>
          <w:rFonts w:ascii="黑体"/>
        </w:rPr>
        <w:fldChar w:fldCharType="begin">
          <w:ffData>
            <w:name w:val="SM"/>
            <w:enabled/>
            <w:calcOnExit w:val="0"/>
            <w:entryMacro w:val="ShowHelp9"/>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8"/>
      <w:r>
        <w:t xml:space="preserve"> </w:t>
      </w:r>
      <w:r>
        <w:rPr>
          <w:rFonts w:ascii="黑体"/>
        </w:rPr>
        <w:t>-</w:t>
      </w:r>
      <w:r>
        <w:t xml:space="preserve"> </w:t>
      </w:r>
      <w:bookmarkStart w:id="9" w:name="SD"/>
      <w:r>
        <w:rPr>
          <w:rFonts w:ascii="黑体"/>
        </w:rPr>
        <w:fldChar w:fldCharType="begin">
          <w:ffData>
            <w:name w:val="SD"/>
            <w:enabled/>
            <w:calcOnExit w:val="0"/>
            <w:entryMacro w:val="ShowHelp9"/>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9"/>
      <w:r>
        <w:rPr>
          <w:rFonts w:hint="eastAsia"/>
        </w:rPr>
        <w:t>实施</w:t>
      </w:r>
    </w:p>
    <w:p w14:paraId="2B56A4F8">
      <w:pPr>
        <w:pStyle w:val="110"/>
        <w:framePr w:wrap="around"/>
      </w:pPr>
      <w:r>
        <w:rPr>
          <w:rFonts w:hint="eastAsia"/>
        </w:rPr>
        <w:t>中国核能行业协会</w:t>
      </w:r>
      <w:r>
        <w:rPr>
          <w:rFonts w:ascii="Cambria Math" w:hAnsi="Cambria Math" w:cs="Cambria Math"/>
        </w:rPr>
        <w:t>   </w:t>
      </w:r>
      <w:r>
        <w:rPr>
          <w:rStyle w:val="65"/>
          <w:rFonts w:hint="eastAsia"/>
        </w:rPr>
        <w:t>发布</w:t>
      </w:r>
    </w:p>
    <w:p w14:paraId="7794FE68">
      <w:pPr>
        <w:pStyle w:val="17"/>
        <w:sectPr>
          <w:headerReference r:id="rId3" w:type="even"/>
          <w:footerReference r:id="rId4" w:type="even"/>
          <w:pgSz w:w="11906" w:h="16838"/>
          <w:pgMar w:top="567" w:right="1134" w:bottom="1134" w:left="1417" w:header="0" w:footer="0" w:gutter="0"/>
          <w:pgNumType w:start="1"/>
          <w:cols w:space="425" w:num="1"/>
          <w:docGrid w:type="lines" w:linePitch="312" w:charSpace="0"/>
        </w:sectPr>
      </w:pPr>
      <w:r>
        <mc:AlternateContent>
          <mc:Choice Requires="wps">
            <w:drawing>
              <wp:anchor distT="0" distB="0" distL="114300" distR="114300" simplePos="0" relativeHeight="251660288" behindDoc="0" locked="0" layoutInCell="1" allowOverlap="1">
                <wp:simplePos x="0" y="0"/>
                <wp:positionH relativeFrom="column">
                  <wp:posOffset>-635</wp:posOffset>
                </wp:positionH>
                <wp:positionV relativeFrom="paragraph">
                  <wp:posOffset>2339975</wp:posOffset>
                </wp:positionV>
                <wp:extent cx="6120130" cy="0"/>
                <wp:effectExtent l="3810" t="4445" r="635" b="5080"/>
                <wp:wrapNone/>
                <wp:docPr id="1" name="Line 11"/>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Line 11" o:spid="_x0000_s1026" o:spt="20" style="position:absolute;left:0pt;margin-left:-0.05pt;margin-top:184.25pt;height:0pt;width:481.9pt;z-index:251660288;mso-width-relative:page;mso-height-relative:page;" filled="f" stroked="t" coordsize="21600,21600" o:gfxdata="UEsDBAoAAAAAAIdO4kAAAAAAAAAAAAAAAAAEAAAAZHJzL1BLAwQUAAAACACHTuJAQkHiX9cAAAAJ&#10;AQAADwAAAGRycy9kb3ducmV2LnhtbE2PzU7DMBCE70h9B2uRuFStnUaEEuL0UMiNC20R1228JBHx&#10;Oo3dH3h6jIQEx9kZzXxbrC62FycafedYQzJXIIhrZzpuNOy21WwJwgdkg71j0vBJHlbl5KrA3Lgz&#10;v9BpExoRS9jnqKENYcil9HVLFv3cDcTRe3ejxRDl2Egz4jmW214ulMqkxY7jQosDrVuqPzZHq8FX&#10;r3Sovqb1VL2ljaPF4fH5CbW+uU7UA4hAl/AXhh/8iA5lZNq7Ixsveg2zJAY1pNnyFkT077P0DsT+&#10;9yLLQv7/oPwGUEsDBBQAAAAIAIdO4kBpfwqzyAEAAKADAAAOAAAAZHJzL2Uyb0RvYy54bWytU01v&#10;2zAMvQ/YfxB0XxxnaLEZcXpI0F2yLUC7H6BIsi1MEgVRiZN/P0pO0rW79DAfBIkfj3yP9PLh5Cw7&#10;6ogGfMvr2Zwz7SUo4/uW/3p+/PSFM0zCK2HB65afNfKH1ccPyzE0egEDWKUjIxCPzRhaPqQUmqpC&#10;OWgncAZBe3J2EJ1I9Ix9paIYCd3ZajGf31cjRBUiSI1I1s3k5BfE+B5A6Doj9QbkwWmfJtSorUhE&#10;CQcTkK9Kt12nZfrZdagTsy0npqmcVITu+3xWq6Vo+ijCYOSlBfGeFt5wcsJ4KnqD2ogk2CGaf6Cc&#10;kREQujST4KqJSFGEWNTzN9o8DSLowoWkxnATHf8frPxx3EVmFG0CZ144GvjWeM3qOkszBmwoYu13&#10;MZOTJ/8UtiB/I/OwHoTvdWnx+Rwor2RUr1LyAwMV2I/fQVGMOCQoOp266DIkKcBOZRzn2zj0KTFJ&#10;xvuaNPlMk5JXXyWaa2KImL5pcCxfWm6p6QIsjltM1DqFXkNyHQ+PxtoybevZ2PKvd4u7koBgjcrO&#10;HIax369tZEeR96V8WQcCexUW4eDVZLee3Feek2J7UOddzO5sp8EVgMuS5c34+12iXn6s1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CQeJf1wAAAAkBAAAPAAAAAAAAAAEAIAAAACIAAABkcnMvZG93&#10;bnJldi54bWxQSwECFAAUAAAACACHTuJAaX8Ks8gBAACgAwAADgAAAAAAAAABACAAAAAmAQAAZHJz&#10;L2Uyb0RvYy54bWxQSwUGAAAAAAYABgBZAQAAYAUAAAAA&#10;">
                <v:fill on="f" focussize="0,0"/>
                <v:stroke color="#000000" joinstyle="round"/>
                <v:imagedata o:title=""/>
                <o:lock v:ext="edit" aspectratio="f"/>
              </v:line>
            </w:pict>
          </mc:Fallback>
        </mc:AlternateContent>
      </w:r>
    </w:p>
    <w:p w14:paraId="74634415">
      <w:pPr>
        <w:pStyle w:val="42"/>
      </w:pPr>
      <w:bookmarkStart w:id="10" w:name="_Toc786"/>
      <w:bookmarkStart w:id="11" w:name="_Toc31140"/>
      <w:r>
        <w:rPr>
          <w:rFonts w:hint="eastAsia"/>
        </w:rPr>
        <w:t>目</w:t>
      </w:r>
      <w:bookmarkStart w:id="12" w:name="BKML"/>
      <w:r>
        <w:rPr>
          <w:rFonts w:hAnsi="黑体"/>
        </w:rPr>
        <w:t>  </w:t>
      </w:r>
      <w:r>
        <w:rPr>
          <w:rFonts w:hint="eastAsia"/>
        </w:rPr>
        <w:t>次</w:t>
      </w:r>
      <w:bookmarkEnd w:id="10"/>
      <w:bookmarkEnd w:id="11"/>
      <w:bookmarkEnd w:id="12"/>
    </w:p>
    <w:sdt>
      <w:sdtPr>
        <w:rPr>
          <w:rFonts w:ascii="宋体" w:hAnsi="宋体"/>
          <w:kern w:val="0"/>
          <w:szCs w:val="20"/>
        </w:rPr>
        <w:id w:val="147478788"/>
        <w15:color w:val="DBDBDB"/>
        <w:docPartObj>
          <w:docPartGallery w:val="Table of Contents"/>
          <w:docPartUnique/>
        </w:docPartObj>
      </w:sdtPr>
      <w:sdtEndPr>
        <w:rPr>
          <w:rFonts w:ascii="宋体" w:hAnsi="Times New Roman"/>
          <w:kern w:val="0"/>
          <w:szCs w:val="20"/>
        </w:rPr>
      </w:sdtEndPr>
      <w:sdtContent>
        <w:p w14:paraId="2FFFF9BA">
          <w:pPr>
            <w:jc w:val="center"/>
          </w:pPr>
        </w:p>
        <w:p w14:paraId="6950E94C">
          <w:pPr>
            <w:pStyle w:val="14"/>
            <w:tabs>
              <w:tab w:val="right" w:leader="dot" w:pos="9355"/>
            </w:tabs>
          </w:pPr>
          <w:r>
            <w:fldChar w:fldCharType="begin"/>
          </w:r>
          <w:r>
            <w:instrText xml:space="preserve">TOC \o "1-1" \h \u </w:instrText>
          </w:r>
          <w:r>
            <w:fldChar w:fldCharType="separate"/>
          </w:r>
          <w:r>
            <w:fldChar w:fldCharType="begin"/>
          </w:r>
          <w:r>
            <w:instrText xml:space="preserve"> HYPERLINK \l "_Toc786" </w:instrText>
          </w:r>
          <w:r>
            <w:fldChar w:fldCharType="separate"/>
          </w:r>
          <w:r>
            <w:rPr>
              <w:rFonts w:hint="eastAsia"/>
            </w:rPr>
            <w:t>目</w:t>
          </w:r>
          <w:r>
            <w:rPr>
              <w:rFonts w:hAnsi="黑体"/>
            </w:rPr>
            <w:t>  </w:t>
          </w:r>
          <w:r>
            <w:rPr>
              <w:rFonts w:hint="eastAsia"/>
            </w:rPr>
            <w:t>次</w:t>
          </w:r>
          <w:r>
            <w:tab/>
          </w:r>
          <w:r>
            <w:fldChar w:fldCharType="begin"/>
          </w:r>
          <w:r>
            <w:instrText xml:space="preserve"> PAGEREF _Toc786 \h </w:instrText>
          </w:r>
          <w:r>
            <w:fldChar w:fldCharType="separate"/>
          </w:r>
          <w:r>
            <w:t>I</w:t>
          </w:r>
          <w:r>
            <w:fldChar w:fldCharType="end"/>
          </w:r>
          <w:r>
            <w:fldChar w:fldCharType="end"/>
          </w:r>
        </w:p>
        <w:p w14:paraId="0239456A">
          <w:pPr>
            <w:pStyle w:val="14"/>
            <w:tabs>
              <w:tab w:val="right" w:leader="dot" w:pos="9355"/>
            </w:tabs>
          </w:pPr>
          <w:r>
            <w:fldChar w:fldCharType="begin"/>
          </w:r>
          <w:r>
            <w:instrText xml:space="preserve"> HYPERLINK \l "_Toc15822" </w:instrText>
          </w:r>
          <w:r>
            <w:fldChar w:fldCharType="separate"/>
          </w:r>
          <w:r>
            <w:rPr>
              <w:rFonts w:hint="eastAsia"/>
            </w:rPr>
            <w:t>前</w:t>
          </w:r>
          <w:r>
            <w:rPr>
              <w:rFonts w:ascii="Cambria Math" w:hAnsi="Cambria Math" w:cs="Cambria Math"/>
            </w:rPr>
            <w:t>  </w:t>
          </w:r>
          <w:r>
            <w:rPr>
              <w:rFonts w:hint="eastAsia"/>
            </w:rPr>
            <w:t>言</w:t>
          </w:r>
          <w:r>
            <w:tab/>
          </w:r>
          <w:r>
            <w:fldChar w:fldCharType="begin"/>
          </w:r>
          <w:r>
            <w:instrText xml:space="preserve"> PAGEREF _Toc15822 \h </w:instrText>
          </w:r>
          <w:r>
            <w:fldChar w:fldCharType="separate"/>
          </w:r>
          <w:r>
            <w:t>II</w:t>
          </w:r>
          <w:r>
            <w:fldChar w:fldCharType="end"/>
          </w:r>
          <w:r>
            <w:fldChar w:fldCharType="end"/>
          </w:r>
        </w:p>
        <w:p w14:paraId="13B3A27E">
          <w:pPr>
            <w:pStyle w:val="14"/>
            <w:tabs>
              <w:tab w:val="right" w:leader="dot" w:pos="9355"/>
            </w:tabs>
          </w:pPr>
          <w:r>
            <w:fldChar w:fldCharType="begin"/>
          </w:r>
          <w:r>
            <w:instrText xml:space="preserve"> HYPERLINK \l "_Toc2238" </w:instrText>
          </w:r>
          <w:r>
            <w:fldChar w:fldCharType="separate"/>
          </w:r>
          <w:r>
            <w:rPr>
              <w:rFonts w:hint="eastAsia"/>
            </w:rPr>
            <w:t>核电厂气体绝缘金属封闭输电线路（GIL）盆式绝缘子缺陷评估导则</w:t>
          </w:r>
          <w:r>
            <w:tab/>
          </w:r>
          <w:r>
            <w:fldChar w:fldCharType="begin"/>
          </w:r>
          <w:r>
            <w:instrText xml:space="preserve"> PAGEREF _Toc2238 \h </w:instrText>
          </w:r>
          <w:r>
            <w:fldChar w:fldCharType="separate"/>
          </w:r>
          <w:r>
            <w:t>1</w:t>
          </w:r>
          <w:r>
            <w:fldChar w:fldCharType="end"/>
          </w:r>
          <w:r>
            <w:fldChar w:fldCharType="end"/>
          </w:r>
        </w:p>
        <w:p w14:paraId="4B46C2AB">
          <w:pPr>
            <w:pStyle w:val="14"/>
            <w:tabs>
              <w:tab w:val="right" w:leader="dot" w:pos="9355"/>
            </w:tabs>
          </w:pPr>
          <w:r>
            <w:fldChar w:fldCharType="begin"/>
          </w:r>
          <w:r>
            <w:instrText xml:space="preserve"> HYPERLINK \l "_Toc32755" </w:instrText>
          </w:r>
          <w:r>
            <w:fldChar w:fldCharType="separate"/>
          </w:r>
          <w:r>
            <w:rPr>
              <w:rFonts w:hint="eastAsia" w:ascii="黑体" w:eastAsia="黑体"/>
              <w:szCs w:val="21"/>
            </w:rPr>
            <w:t xml:space="preserve">1 </w:t>
          </w:r>
          <w:r>
            <w:rPr>
              <w:rFonts w:hint="eastAsia"/>
            </w:rPr>
            <w:t>范围</w:t>
          </w:r>
          <w:r>
            <w:tab/>
          </w:r>
          <w:r>
            <w:fldChar w:fldCharType="begin"/>
          </w:r>
          <w:r>
            <w:instrText xml:space="preserve"> PAGEREF _Toc32755 \h </w:instrText>
          </w:r>
          <w:r>
            <w:fldChar w:fldCharType="separate"/>
          </w:r>
          <w:r>
            <w:t>1</w:t>
          </w:r>
          <w:r>
            <w:fldChar w:fldCharType="end"/>
          </w:r>
          <w:r>
            <w:fldChar w:fldCharType="end"/>
          </w:r>
        </w:p>
        <w:p w14:paraId="35A54DF8">
          <w:pPr>
            <w:pStyle w:val="14"/>
            <w:tabs>
              <w:tab w:val="right" w:leader="dot" w:pos="9355"/>
            </w:tabs>
          </w:pPr>
          <w:r>
            <w:fldChar w:fldCharType="begin"/>
          </w:r>
          <w:r>
            <w:instrText xml:space="preserve"> HYPERLINK \l "_Toc30196" </w:instrText>
          </w:r>
          <w:r>
            <w:fldChar w:fldCharType="separate"/>
          </w:r>
          <w:r>
            <w:rPr>
              <w:rFonts w:hint="eastAsia" w:ascii="黑体" w:eastAsia="黑体"/>
              <w:szCs w:val="21"/>
            </w:rPr>
            <w:t xml:space="preserve">2 </w:t>
          </w:r>
          <w:r>
            <w:rPr>
              <w:rFonts w:hint="eastAsia"/>
            </w:rPr>
            <w:t>规范性引用文件</w:t>
          </w:r>
          <w:r>
            <w:tab/>
          </w:r>
          <w:r>
            <w:fldChar w:fldCharType="begin"/>
          </w:r>
          <w:r>
            <w:instrText xml:space="preserve"> PAGEREF _Toc30196 \h </w:instrText>
          </w:r>
          <w:r>
            <w:fldChar w:fldCharType="separate"/>
          </w:r>
          <w:r>
            <w:t>1</w:t>
          </w:r>
          <w:r>
            <w:fldChar w:fldCharType="end"/>
          </w:r>
          <w:r>
            <w:fldChar w:fldCharType="end"/>
          </w:r>
        </w:p>
        <w:p w14:paraId="1FB4BD30">
          <w:pPr>
            <w:pStyle w:val="14"/>
            <w:tabs>
              <w:tab w:val="right" w:leader="dot" w:pos="9355"/>
            </w:tabs>
          </w:pPr>
          <w:r>
            <w:fldChar w:fldCharType="begin"/>
          </w:r>
          <w:r>
            <w:instrText xml:space="preserve"> HYPERLINK \l "_Toc5631" </w:instrText>
          </w:r>
          <w:r>
            <w:fldChar w:fldCharType="separate"/>
          </w:r>
          <w:r>
            <w:rPr>
              <w:rFonts w:hint="eastAsia" w:ascii="黑体" w:eastAsia="黑体"/>
              <w:szCs w:val="21"/>
            </w:rPr>
            <w:t xml:space="preserve">3 </w:t>
          </w:r>
          <w:r>
            <w:rPr>
              <w:rFonts w:hint="eastAsia"/>
            </w:rPr>
            <w:t>术语和定义</w:t>
          </w:r>
          <w:r>
            <w:tab/>
          </w:r>
          <w:r>
            <w:fldChar w:fldCharType="begin"/>
          </w:r>
          <w:r>
            <w:instrText xml:space="preserve"> PAGEREF _Toc5631 \h </w:instrText>
          </w:r>
          <w:r>
            <w:fldChar w:fldCharType="separate"/>
          </w:r>
          <w:r>
            <w:t>1</w:t>
          </w:r>
          <w:r>
            <w:fldChar w:fldCharType="end"/>
          </w:r>
          <w:r>
            <w:fldChar w:fldCharType="end"/>
          </w:r>
        </w:p>
        <w:p w14:paraId="73DAA1BE">
          <w:pPr>
            <w:pStyle w:val="14"/>
            <w:tabs>
              <w:tab w:val="right" w:leader="dot" w:pos="9355"/>
            </w:tabs>
          </w:pPr>
          <w:r>
            <w:fldChar w:fldCharType="begin"/>
          </w:r>
          <w:r>
            <w:instrText xml:space="preserve"> HYPERLINK \l "_Toc12515" </w:instrText>
          </w:r>
          <w:r>
            <w:fldChar w:fldCharType="separate"/>
          </w:r>
          <w:r>
            <w:rPr>
              <w:rFonts w:hint="eastAsia" w:ascii="黑体" w:eastAsia="黑体"/>
              <w:szCs w:val="21"/>
            </w:rPr>
            <w:t xml:space="preserve">4 </w:t>
          </w:r>
          <w:r>
            <w:rPr>
              <w:rFonts w:hint="eastAsia"/>
            </w:rPr>
            <w:t>检测方法与技术要求</w:t>
          </w:r>
          <w:r>
            <w:tab/>
          </w:r>
          <w:r>
            <w:fldChar w:fldCharType="begin"/>
          </w:r>
          <w:r>
            <w:instrText xml:space="preserve"> PAGEREF _Toc12515 \h </w:instrText>
          </w:r>
          <w:r>
            <w:fldChar w:fldCharType="separate"/>
          </w:r>
          <w:r>
            <w:t>3</w:t>
          </w:r>
          <w:r>
            <w:fldChar w:fldCharType="end"/>
          </w:r>
          <w:r>
            <w:fldChar w:fldCharType="end"/>
          </w:r>
        </w:p>
        <w:p w14:paraId="205C6AD2">
          <w:pPr>
            <w:pStyle w:val="14"/>
            <w:tabs>
              <w:tab w:val="right" w:leader="dot" w:pos="9355"/>
            </w:tabs>
          </w:pPr>
          <w:r>
            <w:fldChar w:fldCharType="begin"/>
          </w:r>
          <w:r>
            <w:instrText xml:space="preserve"> HYPERLINK \l "_Toc11163" </w:instrText>
          </w:r>
          <w:r>
            <w:fldChar w:fldCharType="separate"/>
          </w:r>
          <w:r>
            <w:rPr>
              <w:rFonts w:hint="eastAsia" w:ascii="黑体" w:eastAsia="黑体"/>
              <w:szCs w:val="21"/>
            </w:rPr>
            <w:t xml:space="preserve">5 </w:t>
          </w:r>
          <w:r>
            <w:rPr>
              <w:rFonts w:hint="eastAsia"/>
            </w:rPr>
            <w:t>缺陷类型</w:t>
          </w:r>
          <w:r>
            <w:tab/>
          </w:r>
          <w:r>
            <w:fldChar w:fldCharType="begin"/>
          </w:r>
          <w:r>
            <w:instrText xml:space="preserve"> PAGEREF _Toc11163 \h </w:instrText>
          </w:r>
          <w:r>
            <w:fldChar w:fldCharType="separate"/>
          </w:r>
          <w:r>
            <w:t>4</w:t>
          </w:r>
          <w:r>
            <w:fldChar w:fldCharType="end"/>
          </w:r>
          <w:r>
            <w:fldChar w:fldCharType="end"/>
          </w:r>
        </w:p>
        <w:p w14:paraId="278DEC6D">
          <w:pPr>
            <w:pStyle w:val="14"/>
            <w:tabs>
              <w:tab w:val="right" w:leader="dot" w:pos="9355"/>
            </w:tabs>
          </w:pPr>
          <w:r>
            <w:fldChar w:fldCharType="begin"/>
          </w:r>
          <w:r>
            <w:instrText xml:space="preserve"> HYPERLINK \l "_Toc25595" </w:instrText>
          </w:r>
          <w:r>
            <w:fldChar w:fldCharType="separate"/>
          </w:r>
          <w:r>
            <w:rPr>
              <w:rFonts w:hint="eastAsia" w:ascii="黑体" w:eastAsia="黑体"/>
              <w:szCs w:val="21"/>
            </w:rPr>
            <w:t xml:space="preserve">6 </w:t>
          </w:r>
          <w:r>
            <w:rPr>
              <w:rFonts w:hint="eastAsia"/>
            </w:rPr>
            <w:t>缺陷状态评估方法</w:t>
          </w:r>
          <w:r>
            <w:tab/>
          </w:r>
          <w:r>
            <w:fldChar w:fldCharType="begin"/>
          </w:r>
          <w:r>
            <w:instrText xml:space="preserve"> PAGEREF _Toc25595 \h </w:instrText>
          </w:r>
          <w:r>
            <w:fldChar w:fldCharType="separate"/>
          </w:r>
          <w:r>
            <w:t>5</w:t>
          </w:r>
          <w:r>
            <w:fldChar w:fldCharType="end"/>
          </w:r>
          <w:r>
            <w:fldChar w:fldCharType="end"/>
          </w:r>
        </w:p>
        <w:p w14:paraId="3A5895BD">
          <w:pPr>
            <w:pStyle w:val="14"/>
            <w:tabs>
              <w:tab w:val="right" w:leader="dot" w:pos="9355"/>
            </w:tabs>
          </w:pPr>
          <w:r>
            <w:fldChar w:fldCharType="begin"/>
          </w:r>
          <w:r>
            <w:instrText xml:space="preserve"> HYPERLINK \l "_Toc24884" </w:instrText>
          </w:r>
          <w:r>
            <w:fldChar w:fldCharType="separate"/>
          </w:r>
          <w:r>
            <w:rPr>
              <w:rFonts w:hint="eastAsia" w:ascii="黑体" w:eastAsia="黑体"/>
              <w:szCs w:val="21"/>
            </w:rPr>
            <w:t xml:space="preserve">7 </w:t>
          </w:r>
          <w:r>
            <w:rPr>
              <w:rFonts w:hint="eastAsia"/>
            </w:rPr>
            <w:t>缺陷等级划分与处置建议</w:t>
          </w:r>
          <w:r>
            <w:tab/>
          </w:r>
          <w:r>
            <w:fldChar w:fldCharType="begin"/>
          </w:r>
          <w:r>
            <w:instrText xml:space="preserve"> PAGEREF _Toc24884 \h </w:instrText>
          </w:r>
          <w:r>
            <w:fldChar w:fldCharType="separate"/>
          </w:r>
          <w:r>
            <w:t>6</w:t>
          </w:r>
          <w:r>
            <w:fldChar w:fldCharType="end"/>
          </w:r>
          <w:r>
            <w:fldChar w:fldCharType="end"/>
          </w:r>
        </w:p>
        <w:p w14:paraId="7C1909D4">
          <w:pPr>
            <w:pStyle w:val="14"/>
            <w:tabs>
              <w:tab w:val="right" w:leader="dot" w:pos="9355"/>
            </w:tabs>
          </w:pPr>
          <w:r>
            <w:fldChar w:fldCharType="begin"/>
          </w:r>
          <w:r>
            <w:instrText xml:space="preserve"> HYPERLINK \l "_Toc22186" </w:instrText>
          </w:r>
          <w:r>
            <w:fldChar w:fldCharType="separate"/>
          </w:r>
          <w:r>
            <w:rPr>
              <w:rFonts w:hint="eastAsia" w:ascii="黑体" w:eastAsia="黑体"/>
            </w:rPr>
            <w:t xml:space="preserve">附　录　A </w:t>
          </w:r>
          <w:r>
            <w:t xml:space="preserve"> </w:t>
          </w:r>
          <w:r>
            <w:rPr>
              <w:rFonts w:hint="eastAsia"/>
            </w:rPr>
            <w:t>（规范性附录）</w:t>
          </w:r>
          <w:r>
            <w:t xml:space="preserve"> </w:t>
          </w:r>
          <w:r>
            <w:rPr>
              <w:rFonts w:hint="eastAsia"/>
            </w:rPr>
            <w:t>GIL盆式绝缘子绝缘类缺陷模拟实验室试验方案</w:t>
          </w:r>
          <w:r>
            <w:tab/>
          </w:r>
          <w:r>
            <w:fldChar w:fldCharType="begin"/>
          </w:r>
          <w:r>
            <w:instrText xml:space="preserve"> PAGEREF _Toc22186 \h </w:instrText>
          </w:r>
          <w:r>
            <w:fldChar w:fldCharType="separate"/>
          </w:r>
          <w:r>
            <w:t>8</w:t>
          </w:r>
          <w:r>
            <w:fldChar w:fldCharType="end"/>
          </w:r>
          <w:r>
            <w:fldChar w:fldCharType="end"/>
          </w:r>
        </w:p>
        <w:p w14:paraId="75E7A9B3">
          <w:pPr>
            <w:pStyle w:val="14"/>
            <w:tabs>
              <w:tab w:val="right" w:leader="dot" w:pos="9355"/>
            </w:tabs>
          </w:pPr>
          <w:r>
            <w:fldChar w:fldCharType="begin"/>
          </w:r>
          <w:r>
            <w:instrText xml:space="preserve"> HYPERLINK \l "_Toc20054" </w:instrText>
          </w:r>
          <w:r>
            <w:fldChar w:fldCharType="separate"/>
          </w:r>
          <w:r>
            <w:rPr>
              <w:rFonts w:hint="eastAsia" w:ascii="黑体" w:eastAsia="黑体"/>
            </w:rPr>
            <w:t xml:space="preserve">附　录　B </w:t>
          </w:r>
          <w:r>
            <w:t xml:space="preserve"> </w:t>
          </w:r>
          <w:r>
            <w:rPr>
              <w:rFonts w:hint="eastAsia"/>
            </w:rPr>
            <w:t>（资料性附录）</w:t>
          </w:r>
          <w:r>
            <w:t xml:space="preserve"> </w:t>
          </w:r>
          <w:r>
            <w:rPr>
              <w:rFonts w:hint="eastAsia"/>
            </w:rPr>
            <w:t>GIL盆式绝缘子绝缘类缺陷实验室模拟局部放电特高频信号典型图谱</w:t>
          </w:r>
          <w:r>
            <w:tab/>
          </w:r>
          <w:r>
            <w:fldChar w:fldCharType="begin"/>
          </w:r>
          <w:r>
            <w:instrText xml:space="preserve"> PAGEREF _Toc20054 \h </w:instrText>
          </w:r>
          <w:r>
            <w:fldChar w:fldCharType="separate"/>
          </w:r>
          <w:r>
            <w:t>10</w:t>
          </w:r>
          <w:r>
            <w:fldChar w:fldCharType="end"/>
          </w:r>
          <w:r>
            <w:fldChar w:fldCharType="end"/>
          </w:r>
        </w:p>
        <w:p w14:paraId="7B3F6EC7">
          <w:pPr>
            <w:pStyle w:val="14"/>
            <w:tabs>
              <w:tab w:val="right" w:leader="dot" w:pos="9355"/>
            </w:tabs>
          </w:pPr>
          <w:r>
            <w:fldChar w:fldCharType="begin"/>
          </w:r>
          <w:r>
            <w:instrText xml:space="preserve"> HYPERLINK \l "_Toc16603" </w:instrText>
          </w:r>
          <w:r>
            <w:fldChar w:fldCharType="separate"/>
          </w:r>
          <w:r>
            <w:rPr>
              <w:rFonts w:hint="eastAsia" w:ascii="黑体" w:eastAsia="黑体"/>
            </w:rPr>
            <w:t xml:space="preserve">附　录　C </w:t>
          </w:r>
          <w:r>
            <w:t xml:space="preserve"> </w:t>
          </w:r>
          <w:r>
            <w:rPr>
              <w:rFonts w:hint="eastAsia"/>
            </w:rPr>
            <w:t>（资料性附录）</w:t>
          </w:r>
          <w:r>
            <w:t xml:space="preserve"> </w:t>
          </w:r>
          <w:r>
            <w:rPr>
              <w:rFonts w:hint="eastAsia"/>
            </w:rPr>
            <w:t>GIL盆式绝缘子典型缺陷X光检测结果</w:t>
          </w:r>
          <w:r>
            <w:tab/>
          </w:r>
          <w:r>
            <w:fldChar w:fldCharType="begin"/>
          </w:r>
          <w:r>
            <w:instrText xml:space="preserve"> PAGEREF _Toc16603 \h </w:instrText>
          </w:r>
          <w:r>
            <w:fldChar w:fldCharType="separate"/>
          </w:r>
          <w:r>
            <w:t>17</w:t>
          </w:r>
          <w:r>
            <w:fldChar w:fldCharType="end"/>
          </w:r>
          <w:r>
            <w:fldChar w:fldCharType="end"/>
          </w:r>
        </w:p>
        <w:p w14:paraId="6C7E7F8F">
          <w:pPr>
            <w:pStyle w:val="14"/>
            <w:tabs>
              <w:tab w:val="right" w:leader="dot" w:pos="9355"/>
            </w:tabs>
          </w:pPr>
          <w:r>
            <w:fldChar w:fldCharType="begin"/>
          </w:r>
          <w:r>
            <w:instrText xml:space="preserve"> HYPERLINK \l "_Toc30623" </w:instrText>
          </w:r>
          <w:r>
            <w:fldChar w:fldCharType="separate"/>
          </w:r>
          <w:r>
            <w:rPr>
              <w:rFonts w:hint="eastAsia"/>
            </w:rPr>
            <w:t>参</w:t>
          </w:r>
          <w:r>
            <w:rPr>
              <w:rFonts w:hAnsi="黑体"/>
            </w:rPr>
            <w:t> </w:t>
          </w:r>
          <w:r>
            <w:rPr>
              <w:rFonts w:hint="eastAsia"/>
            </w:rPr>
            <w:t>考</w:t>
          </w:r>
          <w:r>
            <w:rPr>
              <w:rFonts w:hAnsi="黑体"/>
            </w:rPr>
            <w:t> </w:t>
          </w:r>
          <w:r>
            <w:rPr>
              <w:rFonts w:hint="eastAsia"/>
            </w:rPr>
            <w:t>文</w:t>
          </w:r>
          <w:r>
            <w:rPr>
              <w:rFonts w:hAnsi="黑体"/>
            </w:rPr>
            <w:t> </w:t>
          </w:r>
          <w:r>
            <w:rPr>
              <w:rFonts w:hint="eastAsia"/>
            </w:rPr>
            <w:t>献</w:t>
          </w:r>
          <w:r>
            <w:tab/>
          </w:r>
          <w:r>
            <w:fldChar w:fldCharType="begin"/>
          </w:r>
          <w:r>
            <w:instrText xml:space="preserve"> PAGEREF _Toc30623 \h </w:instrText>
          </w:r>
          <w:r>
            <w:fldChar w:fldCharType="separate"/>
          </w:r>
          <w:r>
            <w:t>18</w:t>
          </w:r>
          <w:r>
            <w:fldChar w:fldCharType="end"/>
          </w:r>
          <w:r>
            <w:fldChar w:fldCharType="end"/>
          </w:r>
        </w:p>
        <w:p w14:paraId="396163C7">
          <w:pPr>
            <w:pStyle w:val="17"/>
          </w:pPr>
          <w:r>
            <w:fldChar w:fldCharType="end"/>
          </w:r>
        </w:p>
      </w:sdtContent>
    </w:sdt>
    <w:p w14:paraId="0B555762">
      <w:pPr>
        <w:pStyle w:val="111"/>
      </w:pPr>
      <w:bookmarkStart w:id="13" w:name="_Toc46228652"/>
      <w:bookmarkStart w:id="14" w:name="_Toc15822"/>
      <w:r>
        <w:rPr>
          <w:rFonts w:hint="eastAsia"/>
        </w:rPr>
        <w:t>前</w:t>
      </w:r>
      <w:bookmarkStart w:id="15" w:name="BKQY"/>
      <w:r>
        <w:rPr>
          <w:rFonts w:ascii="Cambria Math" w:hAnsi="Cambria Math" w:cs="Cambria Math"/>
        </w:rPr>
        <w:t>  </w:t>
      </w:r>
      <w:r>
        <w:rPr>
          <w:rFonts w:hint="eastAsia"/>
        </w:rPr>
        <w:t>言</w:t>
      </w:r>
      <w:bookmarkEnd w:id="13"/>
      <w:bookmarkEnd w:id="14"/>
      <w:bookmarkEnd w:id="15"/>
    </w:p>
    <w:p w14:paraId="67BA9902">
      <w:pPr>
        <w:pStyle w:val="17"/>
      </w:pPr>
      <w:r>
        <w:rPr>
          <w:rFonts w:hint="eastAsia"/>
        </w:rPr>
        <w:t>本文件按照GB/T 1.1-2020 《标准化工作导则 第1部分：标准化文件的结构和起草规则》的规定起草。</w:t>
      </w:r>
    </w:p>
    <w:p w14:paraId="26123EB3">
      <w:pPr>
        <w:pStyle w:val="17"/>
      </w:pPr>
      <w:r>
        <w:rPr>
          <w:rFonts w:hint="eastAsia"/>
        </w:rPr>
        <w:t>请注意本文件的某些内容可能涉及专利。本文件的发布机构不承担识别专利的责任。</w:t>
      </w:r>
    </w:p>
    <w:p w14:paraId="3FE35D73">
      <w:pPr>
        <w:pStyle w:val="17"/>
      </w:pPr>
      <w:r>
        <w:rPr>
          <w:rFonts w:hint="eastAsia"/>
        </w:rPr>
        <w:t>本文件由中国核能行业协会提出并归口管理，技术支持单位为上海核工程研究设计院有限公司、核工业标准化研究所、苏州热工研究院有限公司</w:t>
      </w:r>
      <w:bookmarkStart w:id="16" w:name="_Hlk138820880"/>
      <w:r>
        <w:rPr>
          <w:rFonts w:hint="eastAsia"/>
        </w:rPr>
        <w:t>、华能核能技术研究院有限公司</w:t>
      </w:r>
      <w:bookmarkEnd w:id="16"/>
      <w:r>
        <w:rPr>
          <w:rFonts w:hint="eastAsia"/>
        </w:rPr>
        <w:t>。</w:t>
      </w:r>
    </w:p>
    <w:p w14:paraId="7365EF30">
      <w:pPr>
        <w:pStyle w:val="17"/>
        <w:rPr>
          <w:highlight w:val="none"/>
        </w:rPr>
      </w:pPr>
      <w:r>
        <w:rPr>
          <w:rFonts w:hint="eastAsia"/>
          <w:highlight w:val="none"/>
        </w:rPr>
        <w:t>本文件起草单位：阳江核电有限公司、苏州热工研究院有限公司、南方电网科学研究院有限公司、中核核电有限公司、上海格鲁布科技有限公司。</w:t>
      </w:r>
    </w:p>
    <w:p w14:paraId="680B0F5F">
      <w:pPr>
        <w:pStyle w:val="17"/>
      </w:pPr>
      <w:r>
        <w:rPr>
          <w:rFonts w:hint="eastAsia"/>
          <w:highlight w:val="none"/>
        </w:rPr>
        <w:t>本文件主要起草人：王云辉、何力、喻侃源、张强、费鑫鑫、任占义、梁才睿、方金活、张家休、杨云肖、王有行、杜预、谢俊</w:t>
      </w:r>
      <w:r>
        <w:rPr>
          <w:rFonts w:hint="eastAsia"/>
        </w:rPr>
        <w:t>业、周文青、张敬华、余家赫、颜乐、高超、杨芸、王文玺、卞青、万振华</w:t>
      </w:r>
      <w:r>
        <w:rPr>
          <w:rFonts w:hint="eastAsia"/>
          <w:lang w:eastAsia="zh-CN"/>
        </w:rPr>
        <w:t>、</w:t>
      </w:r>
      <w:r>
        <w:rPr>
          <w:rFonts w:hint="eastAsia"/>
        </w:rPr>
        <w:t>陈宇菲、杨沛文，丛日高、李大鹏、夏善德等。</w:t>
      </w:r>
    </w:p>
    <w:p w14:paraId="65D4F5B9">
      <w:pPr>
        <w:pStyle w:val="17"/>
      </w:pPr>
      <w:r>
        <w:rPr>
          <w:rFonts w:hint="eastAsia"/>
        </w:rPr>
        <w:t>本文件首次发布。</w:t>
      </w:r>
    </w:p>
    <w:p w14:paraId="3EDA3493">
      <w:pPr>
        <w:pStyle w:val="40"/>
        <w:numPr>
          <w:ilvl w:val="0"/>
          <w:numId w:val="0"/>
        </w:numPr>
      </w:pPr>
    </w:p>
    <w:p w14:paraId="7AB37ACF">
      <w:pPr>
        <w:pStyle w:val="40"/>
        <w:numPr>
          <w:ilvl w:val="0"/>
          <w:numId w:val="0"/>
        </w:numPr>
        <w:ind w:left="833"/>
      </w:pPr>
    </w:p>
    <w:p w14:paraId="759BCE6F">
      <w:pPr>
        <w:pStyle w:val="40"/>
        <w:numPr>
          <w:ilvl w:val="0"/>
          <w:numId w:val="0"/>
        </w:numPr>
        <w:ind w:left="833"/>
        <w:sectPr>
          <w:headerReference r:id="rId5" w:type="default"/>
          <w:footerReference r:id="rId6" w:type="default"/>
          <w:pgSz w:w="11906" w:h="16838"/>
          <w:pgMar w:top="567" w:right="1134" w:bottom="1134" w:left="1417" w:header="1418" w:footer="1134" w:gutter="0"/>
          <w:pgNumType w:fmt="upperRoman" w:start="1"/>
          <w:cols w:space="425" w:num="1"/>
          <w:formProt w:val="0"/>
          <w:docGrid w:type="lines" w:linePitch="312" w:charSpace="0"/>
        </w:sectPr>
      </w:pPr>
    </w:p>
    <w:p w14:paraId="202E008E">
      <w:pPr>
        <w:pStyle w:val="42"/>
      </w:pPr>
      <w:bookmarkStart w:id="17" w:name="_Toc2238"/>
      <w:r>
        <w:rPr>
          <w:rFonts w:hint="eastAsia"/>
        </w:rPr>
        <w:t>核电厂气体绝缘金属封闭输电线路（GIL）盆式绝缘子缺陷评估导则</w:t>
      </w:r>
      <w:bookmarkEnd w:id="17"/>
    </w:p>
    <w:p w14:paraId="34041B19">
      <w:pPr>
        <w:pStyle w:val="37"/>
        <w:ind w:left="0"/>
        <w:outlineLvl w:val="0"/>
      </w:pPr>
      <w:bookmarkStart w:id="18" w:name="_Toc32755"/>
      <w:bookmarkStart w:id="19" w:name="_Toc475687365"/>
      <w:bookmarkStart w:id="20" w:name="_Toc46228654"/>
      <w:r>
        <w:rPr>
          <w:rFonts w:hint="eastAsia"/>
        </w:rPr>
        <w:t>范围</w:t>
      </w:r>
      <w:bookmarkEnd w:id="18"/>
      <w:bookmarkEnd w:id="19"/>
      <w:bookmarkEnd w:id="20"/>
    </w:p>
    <w:p w14:paraId="1ACA7B44">
      <w:pPr>
        <w:ind w:firstLine="420"/>
      </w:pPr>
      <w:r>
        <w:rPr>
          <w:rFonts w:hint="eastAsia"/>
        </w:rPr>
        <w:t>本文件适用于系统额定电压为500 kV气体绝缘金属封闭输电线路（GIL）盆式绝缘子局部放电缺陷的状态评估、风险等级划分及处置建议。</w:t>
      </w:r>
    </w:p>
    <w:p w14:paraId="158D0BEB">
      <w:pPr>
        <w:ind w:firstLine="420"/>
      </w:pPr>
      <w:r>
        <w:rPr>
          <w:rFonts w:hint="eastAsia"/>
        </w:rPr>
        <w:t>本标准规定了利用特高频（UHF）检测为主，结合超声（AE）检测、X射线检测及SF</w:t>
      </w:r>
      <w:r>
        <w:rPr>
          <w:rFonts w:hint="eastAsia"/>
          <w:vertAlign w:val="subscript"/>
        </w:rPr>
        <w:t>6</w:t>
      </w:r>
      <w:r>
        <w:rPr>
          <w:rFonts w:hint="eastAsia"/>
        </w:rPr>
        <w:t>气体分解产物检测等多种手段对 GIL 盆式绝缘子局部放电缺陷进行识别、评估和处置的指导原则。</w:t>
      </w:r>
    </w:p>
    <w:p w14:paraId="6288531F">
      <w:pPr>
        <w:pStyle w:val="37"/>
        <w:ind w:left="0"/>
        <w:outlineLvl w:val="0"/>
      </w:pPr>
      <w:bookmarkStart w:id="21" w:name="_Toc475687366"/>
      <w:bookmarkStart w:id="22" w:name="_Toc30196"/>
      <w:bookmarkStart w:id="23" w:name="_Toc46228655"/>
      <w:r>
        <w:rPr>
          <w:rFonts w:hint="eastAsia"/>
        </w:rPr>
        <w:t>规范性引用文件</w:t>
      </w:r>
      <w:bookmarkEnd w:id="21"/>
      <w:bookmarkEnd w:id="22"/>
      <w:bookmarkEnd w:id="23"/>
    </w:p>
    <w:p w14:paraId="7CC163E5">
      <w:pPr>
        <w:pStyle w:val="17"/>
      </w:pPr>
      <w:r>
        <w:rPr>
          <w:rFonts w:hint="eastAsia"/>
          <w:color w:val="000000"/>
          <w:szCs w:val="21"/>
        </w:rPr>
        <w:t>下列文件中的内容通过文中的规范性引用而构成本文件必不可少的条款。其中，注日期的引用文件，仅该日期对应的版本适用于本文件；不注日期的引用文件，其最新版本（包括所有的修改单）适用于本文件</w:t>
      </w:r>
      <w:r>
        <w:rPr>
          <w:rFonts w:hint="eastAsia"/>
        </w:rPr>
        <w:t>。</w:t>
      </w:r>
    </w:p>
    <w:p w14:paraId="3A81DDD9">
      <w:pPr>
        <w:ind w:firstLine="420"/>
        <w:rPr>
          <w:rFonts w:hint="eastAsia" w:ascii="宋体" w:hAnsi="宋体" w:cs="宋体"/>
        </w:rPr>
      </w:pPr>
      <w:r>
        <w:rPr>
          <w:rFonts w:hint="eastAsia" w:ascii="宋体" w:hAnsi="宋体" w:cs="宋体"/>
        </w:rPr>
        <w:t>GB/T 2900.20-2022</w:t>
      </w:r>
      <w:r>
        <w:rPr>
          <w:rFonts w:hint="eastAsia" w:ascii="宋体" w:hAnsi="宋体" w:cs="宋体"/>
        </w:rPr>
        <w:tab/>
      </w:r>
      <w:r>
        <w:rPr>
          <w:rFonts w:hint="eastAsia" w:ascii="宋体" w:hAnsi="宋体" w:cs="宋体"/>
        </w:rPr>
        <w:t>电工术语  高压开关设备</w:t>
      </w:r>
    </w:p>
    <w:p w14:paraId="1BD75E93">
      <w:pPr>
        <w:ind w:firstLine="420"/>
        <w:rPr>
          <w:rFonts w:hint="eastAsia" w:ascii="宋体" w:hAnsi="宋体" w:cs="宋体"/>
        </w:rPr>
      </w:pPr>
      <w:r>
        <w:rPr>
          <w:rFonts w:hint="eastAsia" w:ascii="宋体" w:hAnsi="宋体" w:cs="宋体"/>
        </w:rPr>
        <w:t>GB/T 7674-2020</w:t>
      </w:r>
      <w:r>
        <w:rPr>
          <w:rFonts w:hint="eastAsia" w:ascii="宋体" w:hAnsi="宋体" w:cs="宋体"/>
        </w:rPr>
        <w:tab/>
      </w:r>
      <w:r>
        <w:rPr>
          <w:rFonts w:hint="eastAsia" w:ascii="宋体" w:hAnsi="宋体" w:cs="宋体"/>
        </w:rPr>
        <w:tab/>
      </w:r>
      <w:r>
        <w:rPr>
          <w:rFonts w:hint="eastAsia" w:ascii="宋体" w:hAnsi="宋体" w:cs="宋体"/>
        </w:rPr>
        <w:t>额定电压72.5kV及以上气体绝缘金属封闭开关设备</w:t>
      </w:r>
    </w:p>
    <w:p w14:paraId="2ED06ABA">
      <w:pPr>
        <w:ind w:firstLine="420"/>
        <w:rPr>
          <w:rFonts w:hint="eastAsia" w:ascii="宋体" w:hAnsi="宋体" w:cs="宋体"/>
          <w:szCs w:val="21"/>
        </w:rPr>
      </w:pPr>
      <w:r>
        <w:rPr>
          <w:rFonts w:hint="eastAsia" w:ascii="宋体" w:hAnsi="宋体" w:cs="宋体"/>
        </w:rPr>
        <w:t xml:space="preserve">GB/T 42287-2022   </w:t>
      </w:r>
      <w:r>
        <w:rPr>
          <w:rFonts w:hint="eastAsia" w:ascii="宋体" w:hAnsi="宋体" w:cs="宋体"/>
        </w:rPr>
        <w:tab/>
      </w:r>
      <w:r>
        <w:rPr>
          <w:rFonts w:hint="eastAsia" w:ascii="宋体" w:hAnsi="宋体" w:cs="宋体"/>
          <w:szCs w:val="21"/>
        </w:rPr>
        <w:t>高电压试验技术 电磁和声学法测量局部放电</w:t>
      </w:r>
    </w:p>
    <w:p w14:paraId="416512A2">
      <w:pPr>
        <w:ind w:firstLine="420"/>
        <w:rPr>
          <w:rFonts w:hint="eastAsia" w:ascii="宋体" w:hAnsi="宋体" w:cs="宋体"/>
        </w:rPr>
      </w:pPr>
      <w:r>
        <w:rPr>
          <w:rFonts w:hint="eastAsia" w:ascii="宋体" w:hAnsi="宋体" w:cs="宋体"/>
        </w:rPr>
        <w:t xml:space="preserve">GB/T 7354-2022     </w:t>
      </w:r>
      <w:r>
        <w:rPr>
          <w:rFonts w:hint="eastAsia" w:ascii="宋体" w:hAnsi="宋体" w:cs="宋体"/>
        </w:rPr>
        <w:tab/>
      </w:r>
      <w:r>
        <w:rPr>
          <w:rFonts w:hint="eastAsia" w:ascii="宋体" w:hAnsi="宋体" w:cs="宋体"/>
          <w:szCs w:val="21"/>
        </w:rPr>
        <w:t>高电压试验技术—局部放电测量</w:t>
      </w:r>
    </w:p>
    <w:p w14:paraId="3F0F69D0">
      <w:pPr>
        <w:ind w:firstLine="420"/>
        <w:rPr>
          <w:rFonts w:hint="eastAsia" w:ascii="宋体" w:hAnsi="宋体" w:cs="宋体"/>
        </w:rPr>
      </w:pPr>
      <w:r>
        <w:rPr>
          <w:rFonts w:hint="eastAsia" w:ascii="宋体" w:hAnsi="宋体" w:cs="宋体"/>
        </w:rPr>
        <w:t>DL/T 1432.1-2015</w:t>
      </w:r>
      <w:r>
        <w:rPr>
          <w:rFonts w:hint="eastAsia" w:ascii="宋体" w:hAnsi="宋体" w:cs="宋体"/>
        </w:rPr>
        <w:tab/>
      </w:r>
      <w:r>
        <w:rPr>
          <w:rFonts w:hint="eastAsia" w:ascii="宋体" w:hAnsi="宋体" w:cs="宋体"/>
        </w:rPr>
        <w:t>变电设备在线监测装置检验规范 第1部分：通则</w:t>
      </w:r>
    </w:p>
    <w:p w14:paraId="4A3FC3D8">
      <w:pPr>
        <w:ind w:firstLine="420"/>
        <w:rPr>
          <w:rFonts w:hint="eastAsia" w:ascii="宋体" w:hAnsi="宋体" w:cs="宋体"/>
        </w:rPr>
      </w:pPr>
      <w:r>
        <w:rPr>
          <w:rFonts w:hint="eastAsia" w:ascii="宋体" w:hAnsi="宋体" w:cs="宋体"/>
        </w:rPr>
        <w:t>DL/T 1432.4-2017</w:t>
      </w:r>
      <w:r>
        <w:rPr>
          <w:rFonts w:hint="eastAsia" w:ascii="宋体" w:hAnsi="宋体" w:cs="宋体"/>
        </w:rPr>
        <w:tab/>
      </w:r>
      <w:r>
        <w:rPr>
          <w:rFonts w:hint="eastAsia" w:ascii="宋体" w:hAnsi="宋体" w:cs="宋体"/>
        </w:rPr>
        <w:t>变电设备在线监测装置检验规范 第4部分：气体绝缘金属封闭开关设备局部放电特高频在线监测装置</w:t>
      </w:r>
    </w:p>
    <w:p w14:paraId="373FED8D">
      <w:pPr>
        <w:ind w:firstLine="420"/>
        <w:rPr>
          <w:rFonts w:hint="eastAsia" w:ascii="宋体" w:hAnsi="宋体" w:cs="宋体"/>
        </w:rPr>
      </w:pPr>
      <w:r>
        <w:rPr>
          <w:rFonts w:hint="eastAsia" w:ascii="宋体" w:hAnsi="宋体" w:cs="宋体"/>
        </w:rPr>
        <w:t>DL/T 1498.4-2017</w:t>
      </w:r>
      <w:r>
        <w:rPr>
          <w:rFonts w:hint="eastAsia" w:ascii="宋体" w:hAnsi="宋体" w:cs="宋体"/>
        </w:rPr>
        <w:tab/>
      </w:r>
      <w:r>
        <w:rPr>
          <w:rFonts w:hint="eastAsia" w:ascii="宋体" w:hAnsi="宋体" w:cs="宋体"/>
        </w:rPr>
        <w:t>变电设备在线监测装置技术规范 第4部分：气体绝缘金属封闭开关设备局部放电特高频在线监测装置</w:t>
      </w:r>
    </w:p>
    <w:p w14:paraId="32B63C93">
      <w:pPr>
        <w:ind w:firstLine="420"/>
        <w:rPr>
          <w:rFonts w:hint="eastAsia" w:ascii="宋体" w:hAnsi="宋体" w:cs="宋体"/>
        </w:rPr>
      </w:pPr>
      <w:r>
        <w:rPr>
          <w:rFonts w:hint="eastAsia" w:ascii="宋体" w:hAnsi="宋体" w:cs="宋体"/>
        </w:rPr>
        <w:t>DL/T 1630-2016</w:t>
      </w:r>
      <w:r>
        <w:rPr>
          <w:rFonts w:hint="eastAsia" w:ascii="宋体" w:hAnsi="宋体" w:cs="宋体"/>
        </w:rPr>
        <w:tab/>
      </w:r>
      <w:r>
        <w:rPr>
          <w:rFonts w:hint="eastAsia" w:ascii="宋体" w:hAnsi="宋体" w:cs="宋体"/>
        </w:rPr>
        <w:tab/>
      </w:r>
      <w:r>
        <w:rPr>
          <w:rFonts w:hint="eastAsia" w:ascii="宋体" w:hAnsi="宋体" w:cs="宋体"/>
        </w:rPr>
        <w:t>气体绝缘金属封闭开关设备局部放电特高频检测技术规范</w:t>
      </w:r>
    </w:p>
    <w:p w14:paraId="5DB6F4CC">
      <w:pPr>
        <w:ind w:firstLine="420"/>
        <w:rPr>
          <w:rFonts w:hint="eastAsia" w:ascii="宋体" w:hAnsi="宋体" w:cs="宋体"/>
        </w:rPr>
      </w:pPr>
      <w:r>
        <w:rPr>
          <w:rFonts w:hint="eastAsia" w:ascii="宋体" w:hAnsi="宋体" w:cs="宋体"/>
        </w:rPr>
        <w:t>DL/T 1694.1-2017</w:t>
      </w:r>
      <w:r>
        <w:rPr>
          <w:rFonts w:hint="eastAsia" w:ascii="宋体" w:hAnsi="宋体" w:cs="宋体"/>
        </w:rPr>
        <w:tab/>
      </w:r>
      <w:r>
        <w:rPr>
          <w:rFonts w:hint="eastAsia" w:ascii="宋体" w:hAnsi="宋体" w:cs="宋体"/>
        </w:rPr>
        <w:t>高压测试仪器及设备校准规范第1部分：特高频局部放电在线监测装置</w:t>
      </w:r>
    </w:p>
    <w:p w14:paraId="404D41D0">
      <w:pPr>
        <w:pStyle w:val="17"/>
        <w:rPr>
          <w:rFonts w:hint="eastAsia" w:hAnsi="宋体" w:cs="宋体"/>
          <w:color w:val="000000"/>
          <w:szCs w:val="21"/>
        </w:rPr>
      </w:pPr>
      <w:r>
        <w:rPr>
          <w:rFonts w:hint="eastAsia" w:hAnsi="宋体" w:cs="宋体"/>
          <w:color w:val="000000"/>
          <w:szCs w:val="21"/>
        </w:rPr>
        <w:t xml:space="preserve">DL/T 1250  </w:t>
      </w:r>
      <w:r>
        <w:rPr>
          <w:rFonts w:hint="eastAsia" w:hAnsi="宋体" w:cs="宋体"/>
          <w:color w:val="000000"/>
          <w:szCs w:val="21"/>
        </w:rPr>
        <w:tab/>
      </w:r>
      <w:r>
        <w:rPr>
          <w:rFonts w:hint="eastAsia" w:hAnsi="宋体" w:cs="宋体"/>
          <w:color w:val="000000"/>
          <w:szCs w:val="21"/>
        </w:rPr>
        <w:t xml:space="preserve">         气体绝缘金属封闭开关设备带电超声局部放电监测应用导则</w:t>
      </w:r>
    </w:p>
    <w:p w14:paraId="01CC2D5C">
      <w:pPr>
        <w:pStyle w:val="17"/>
        <w:rPr>
          <w:rFonts w:hint="eastAsia" w:hAnsi="宋体" w:cs="宋体"/>
        </w:rPr>
      </w:pPr>
      <w:r>
        <w:rPr>
          <w:rFonts w:hint="eastAsia" w:hAnsi="宋体" w:cs="宋体"/>
          <w:color w:val="000000"/>
          <w:szCs w:val="21"/>
        </w:rPr>
        <w:t>DL/T 1205           六氟化硫电气设备分解产物试验方法</w:t>
      </w:r>
    </w:p>
    <w:p w14:paraId="7D942D05">
      <w:pPr>
        <w:pStyle w:val="37"/>
        <w:ind w:left="0"/>
        <w:outlineLvl w:val="0"/>
      </w:pPr>
      <w:bookmarkStart w:id="24" w:name="_Toc475687367"/>
      <w:bookmarkEnd w:id="24"/>
      <w:bookmarkStart w:id="25" w:name="_Toc46228656"/>
      <w:bookmarkStart w:id="26" w:name="_Toc5631"/>
      <w:r>
        <w:rPr>
          <w:rFonts w:hint="eastAsia"/>
        </w:rPr>
        <w:t>术语和定义</w:t>
      </w:r>
      <w:bookmarkEnd w:id="25"/>
      <w:bookmarkEnd w:id="26"/>
    </w:p>
    <w:p w14:paraId="452014CA">
      <w:pPr>
        <w:pStyle w:val="17"/>
        <w:rPr>
          <w:color w:val="000000"/>
          <w:szCs w:val="21"/>
        </w:rPr>
      </w:pPr>
      <w:r>
        <w:rPr>
          <w:rFonts w:hint="eastAsia"/>
          <w:color w:val="000000"/>
          <w:szCs w:val="21"/>
        </w:rPr>
        <w:t>下列术语和定义适用于本文件：</w:t>
      </w:r>
    </w:p>
    <w:p w14:paraId="30E6E207">
      <w:pPr>
        <w:pStyle w:val="17"/>
        <w:ind w:firstLine="0" w:firstLineChars="0"/>
        <w:rPr>
          <w:rFonts w:hint="eastAsia" w:ascii="黑体" w:hAnsi="黑体" w:eastAsia="黑体" w:cs="黑体"/>
          <w:color w:val="000000"/>
          <w:szCs w:val="21"/>
        </w:rPr>
      </w:pPr>
      <w:bookmarkStart w:id="27" w:name="_Toc6846"/>
      <w:r>
        <w:rPr>
          <w:rFonts w:hint="eastAsia" w:ascii="黑体" w:hAnsi="黑体" w:eastAsia="黑体" w:cs="黑体"/>
          <w:color w:val="000000"/>
          <w:szCs w:val="21"/>
        </w:rPr>
        <w:t xml:space="preserve">3.1 </w:t>
      </w:r>
    </w:p>
    <w:p w14:paraId="717E8EFA">
      <w:pPr>
        <w:pStyle w:val="17"/>
        <w:rPr>
          <w:rFonts w:hint="eastAsia" w:ascii="黑体" w:hAnsi="黑体" w:eastAsia="黑体" w:cs="黑体"/>
          <w:color w:val="000000"/>
          <w:szCs w:val="21"/>
        </w:rPr>
      </w:pPr>
      <w:r>
        <w:rPr>
          <w:rFonts w:hint="eastAsia" w:ascii="黑体" w:hAnsi="黑体" w:eastAsia="黑体" w:cs="黑体"/>
          <w:color w:val="000000"/>
          <w:szCs w:val="21"/>
        </w:rPr>
        <w:t>局部放电 partial discharge, PD</w:t>
      </w:r>
    </w:p>
    <w:p w14:paraId="0D905077">
      <w:pPr>
        <w:pStyle w:val="17"/>
        <w:rPr>
          <w:rFonts w:hint="eastAsia" w:hAnsi="宋体" w:cs="宋体"/>
          <w:color w:val="000000"/>
          <w:szCs w:val="21"/>
        </w:rPr>
      </w:pPr>
      <w:r>
        <w:rPr>
          <w:rFonts w:hAnsi="宋体" w:cs="宋体"/>
          <w:color w:val="000000"/>
          <w:szCs w:val="21"/>
        </w:rPr>
        <w:t>在电场作用下，电气设备绝缘系统中仅在局部区域发生的重复性电击穿与熄灭现象。</w:t>
      </w:r>
    </w:p>
    <w:p w14:paraId="0AB09FBD">
      <w:pPr>
        <w:pStyle w:val="17"/>
        <w:ind w:firstLine="0" w:firstLineChars="0"/>
        <w:rPr>
          <w:rFonts w:hint="eastAsia" w:ascii="黑体" w:hAnsi="黑体" w:eastAsia="黑体" w:cs="黑体"/>
          <w:color w:val="000000"/>
          <w:szCs w:val="21"/>
        </w:rPr>
      </w:pPr>
      <w:r>
        <w:rPr>
          <w:rFonts w:hint="eastAsia" w:ascii="黑体" w:hAnsi="黑体" w:eastAsia="黑体" w:cs="黑体"/>
          <w:color w:val="000000"/>
          <w:szCs w:val="21"/>
        </w:rPr>
        <w:t xml:space="preserve">3.2 </w:t>
      </w:r>
    </w:p>
    <w:p w14:paraId="080385E2">
      <w:pPr>
        <w:pStyle w:val="17"/>
        <w:rPr>
          <w:rFonts w:hint="eastAsia" w:ascii="黑体" w:hAnsi="黑体" w:eastAsia="黑体" w:cs="黑体"/>
          <w:color w:val="000000"/>
          <w:szCs w:val="21"/>
        </w:rPr>
      </w:pPr>
      <w:r>
        <w:rPr>
          <w:rFonts w:hint="eastAsia" w:ascii="黑体" w:hAnsi="黑体" w:eastAsia="黑体" w:cs="黑体"/>
          <w:color w:val="000000"/>
          <w:szCs w:val="21"/>
        </w:rPr>
        <w:t>特高频信号  ultra high frequency</w:t>
      </w:r>
      <w:bookmarkEnd w:id="27"/>
      <w:r>
        <w:rPr>
          <w:rFonts w:hint="eastAsia" w:ascii="黑体" w:hAnsi="黑体" w:eastAsia="黑体" w:cs="黑体"/>
          <w:color w:val="000000"/>
          <w:szCs w:val="21"/>
        </w:rPr>
        <w:t>, UHF</w:t>
      </w:r>
    </w:p>
    <w:p w14:paraId="0A41E31C">
      <w:pPr>
        <w:pStyle w:val="17"/>
        <w:rPr>
          <w:rFonts w:hint="eastAsia" w:hAnsi="宋体" w:cs="宋体"/>
          <w:color w:val="000000"/>
          <w:szCs w:val="21"/>
        </w:rPr>
      </w:pPr>
      <w:r>
        <w:rPr>
          <w:rFonts w:hint="eastAsia" w:hAnsi="宋体" w:cs="宋体"/>
          <w:color w:val="000000"/>
          <w:szCs w:val="21"/>
        </w:rPr>
        <w:t>特高频信号是指频率范围在300 MHz至3 GHz之间的无线电波。</w:t>
      </w:r>
    </w:p>
    <w:p w14:paraId="59A8824C">
      <w:pPr>
        <w:pStyle w:val="17"/>
        <w:ind w:firstLine="0" w:firstLineChars="0"/>
        <w:rPr>
          <w:rFonts w:hint="eastAsia" w:ascii="黑体" w:hAnsi="黑体" w:eastAsia="黑体" w:cs="黑体"/>
          <w:color w:val="000000"/>
          <w:szCs w:val="21"/>
        </w:rPr>
      </w:pPr>
      <w:bookmarkStart w:id="28" w:name="_Toc9961"/>
      <w:bookmarkStart w:id="29" w:name="_Toc6054"/>
      <w:r>
        <w:rPr>
          <w:rFonts w:hint="eastAsia" w:ascii="黑体" w:hAnsi="黑体" w:eastAsia="黑体" w:cs="黑体"/>
          <w:color w:val="000000"/>
          <w:szCs w:val="21"/>
        </w:rPr>
        <w:t xml:space="preserve">3.3 </w:t>
      </w:r>
    </w:p>
    <w:p w14:paraId="117706AD">
      <w:pPr>
        <w:pStyle w:val="17"/>
        <w:rPr>
          <w:rFonts w:hint="eastAsia" w:ascii="黑体" w:hAnsi="黑体" w:eastAsia="黑体" w:cs="黑体"/>
          <w:color w:val="000000"/>
          <w:szCs w:val="21"/>
        </w:rPr>
      </w:pPr>
      <w:r>
        <w:rPr>
          <w:rFonts w:hint="eastAsia" w:ascii="黑体" w:hAnsi="黑体" w:eastAsia="黑体" w:cs="黑体"/>
          <w:color w:val="000000"/>
          <w:szCs w:val="21"/>
        </w:rPr>
        <w:t>超声波信号  ultrasonic</w:t>
      </w:r>
      <w:bookmarkEnd w:id="28"/>
      <w:bookmarkEnd w:id="29"/>
      <w:r>
        <w:rPr>
          <w:rFonts w:hint="eastAsia" w:ascii="黑体" w:hAnsi="黑体" w:eastAsia="黑体" w:cs="黑体"/>
          <w:color w:val="000000"/>
          <w:szCs w:val="21"/>
        </w:rPr>
        <w:t xml:space="preserve"> signal</w:t>
      </w:r>
    </w:p>
    <w:p w14:paraId="5F6D6A4C">
      <w:pPr>
        <w:pStyle w:val="17"/>
        <w:rPr>
          <w:rFonts w:hint="eastAsia" w:hAnsi="宋体" w:cs="宋体"/>
          <w:color w:val="000000"/>
          <w:szCs w:val="21"/>
        </w:rPr>
      </w:pPr>
      <w:bookmarkStart w:id="30" w:name="_Toc28934"/>
      <w:bookmarkStart w:id="31" w:name="_Toc3214"/>
      <w:r>
        <w:rPr>
          <w:rFonts w:hint="eastAsia" w:hAnsi="宋体" w:cs="宋体"/>
          <w:color w:val="000000"/>
          <w:szCs w:val="21"/>
        </w:rPr>
        <w:t>超声波信号指的是频率超过人类听觉范围的声波，通常指频率高于20kHz的声波。</w:t>
      </w:r>
      <w:bookmarkEnd w:id="30"/>
      <w:bookmarkEnd w:id="31"/>
    </w:p>
    <w:p w14:paraId="78911F94">
      <w:pPr>
        <w:pStyle w:val="17"/>
        <w:ind w:firstLine="0" w:firstLineChars="0"/>
        <w:rPr>
          <w:rFonts w:hint="eastAsia" w:ascii="黑体" w:hAnsi="黑体" w:eastAsia="黑体" w:cs="黑体"/>
          <w:color w:val="000000"/>
          <w:szCs w:val="21"/>
        </w:rPr>
      </w:pPr>
      <w:bookmarkStart w:id="32" w:name="_Toc21502"/>
      <w:bookmarkStart w:id="33" w:name="_Toc23690"/>
      <w:r>
        <w:rPr>
          <w:rFonts w:hint="eastAsia" w:ascii="黑体" w:hAnsi="黑体" w:eastAsia="黑体" w:cs="黑体"/>
          <w:color w:val="000000"/>
          <w:szCs w:val="21"/>
        </w:rPr>
        <w:t xml:space="preserve">3.4 </w:t>
      </w:r>
    </w:p>
    <w:p w14:paraId="4AFCD7AD">
      <w:pPr>
        <w:pStyle w:val="17"/>
        <w:rPr>
          <w:rFonts w:hint="eastAsia" w:ascii="黑体" w:hAnsi="黑体" w:eastAsia="黑体" w:cs="黑体"/>
          <w:color w:val="000000"/>
          <w:szCs w:val="21"/>
        </w:rPr>
      </w:pPr>
      <w:r>
        <w:rPr>
          <w:rFonts w:hint="eastAsia" w:ascii="黑体" w:hAnsi="黑体" w:eastAsia="黑体" w:cs="黑体"/>
          <w:color w:val="000000"/>
          <w:szCs w:val="21"/>
        </w:rPr>
        <w:t>盆式绝缘子  basin-type insulator</w:t>
      </w:r>
      <w:bookmarkEnd w:id="32"/>
      <w:bookmarkEnd w:id="33"/>
    </w:p>
    <w:p w14:paraId="59F702FB">
      <w:pPr>
        <w:pStyle w:val="17"/>
        <w:rPr>
          <w:rFonts w:hint="eastAsia" w:hAnsi="宋体" w:cs="宋体"/>
          <w:color w:val="000000"/>
          <w:szCs w:val="21"/>
        </w:rPr>
      </w:pPr>
      <w:r>
        <w:rPr>
          <w:rFonts w:hint="eastAsia" w:hAnsi="宋体" w:cs="宋体"/>
          <w:color w:val="000000"/>
          <w:szCs w:val="21"/>
        </w:rPr>
        <w:tab/>
      </w:r>
      <w:bookmarkStart w:id="34" w:name="_Toc15170"/>
      <w:bookmarkStart w:id="35" w:name="_Toc1221"/>
      <w:r>
        <w:rPr>
          <w:rFonts w:hint="eastAsia" w:hAnsi="宋体" w:cs="宋体"/>
          <w:color w:val="000000"/>
          <w:szCs w:val="21"/>
        </w:rPr>
        <w:t>安装在GIL壳体与导体之间、用于支撑导体并实现气体间隔电气隔离的环氧树脂浇注式绝缘件，外形为盆状，故称为盆式绝缘子。盆式绝缘子根据结构可以细化为通型盆式绝缘子、闭型盆式绝缘子和可通可闭型盆式绝缘子。</w:t>
      </w:r>
      <w:bookmarkEnd w:id="34"/>
      <w:bookmarkEnd w:id="35"/>
    </w:p>
    <w:p w14:paraId="0E46C0EE">
      <w:pPr>
        <w:pStyle w:val="17"/>
        <w:ind w:firstLine="0" w:firstLineChars="0"/>
        <w:rPr>
          <w:rFonts w:hint="eastAsia" w:ascii="黑体" w:hAnsi="黑体" w:eastAsia="黑体" w:cs="黑体"/>
          <w:color w:val="000000"/>
          <w:szCs w:val="21"/>
        </w:rPr>
      </w:pPr>
      <w:bookmarkStart w:id="36" w:name="_Toc25242162"/>
      <w:bookmarkStart w:id="37" w:name="_Toc29320181"/>
      <w:bookmarkStart w:id="38" w:name="_Toc21716"/>
      <w:bookmarkStart w:id="39" w:name="_Toc12774"/>
      <w:r>
        <w:rPr>
          <w:rFonts w:hint="eastAsia" w:ascii="黑体" w:hAnsi="黑体" w:eastAsia="黑体" w:cs="黑体"/>
          <w:color w:val="000000"/>
          <w:szCs w:val="21"/>
        </w:rPr>
        <w:t>3.</w:t>
      </w:r>
      <w:bookmarkEnd w:id="36"/>
      <w:bookmarkEnd w:id="37"/>
      <w:r>
        <w:rPr>
          <w:rFonts w:hint="eastAsia" w:ascii="黑体" w:hAnsi="黑体" w:eastAsia="黑体" w:cs="黑体"/>
          <w:color w:val="000000"/>
          <w:szCs w:val="21"/>
        </w:rPr>
        <w:t xml:space="preserve">5 </w:t>
      </w:r>
    </w:p>
    <w:p w14:paraId="25939CE9">
      <w:pPr>
        <w:pStyle w:val="17"/>
        <w:rPr>
          <w:rFonts w:hint="eastAsia" w:ascii="黑体" w:hAnsi="黑体" w:eastAsia="黑体" w:cs="黑体"/>
          <w:color w:val="000000"/>
          <w:szCs w:val="21"/>
        </w:rPr>
      </w:pPr>
      <w:r>
        <w:rPr>
          <w:rFonts w:hint="eastAsia" w:ascii="黑体" w:hAnsi="黑体" w:eastAsia="黑体" w:cs="黑体"/>
          <w:color w:val="000000"/>
          <w:szCs w:val="21"/>
        </w:rPr>
        <w:t>六氟化硫气体  sulphur hexafluoride</w:t>
      </w:r>
      <w:bookmarkEnd w:id="38"/>
      <w:r>
        <w:rPr>
          <w:rFonts w:hint="eastAsia" w:ascii="黑体" w:hAnsi="黑体" w:eastAsia="黑体" w:cs="黑体"/>
          <w:color w:val="000000"/>
          <w:szCs w:val="21"/>
        </w:rPr>
        <w:t>, SF</w:t>
      </w:r>
      <w:r>
        <w:rPr>
          <w:rFonts w:hint="eastAsia" w:ascii="黑体" w:hAnsi="黑体" w:eastAsia="黑体" w:cs="黑体"/>
          <w:color w:val="000000"/>
          <w:szCs w:val="21"/>
          <w:vertAlign w:val="subscript"/>
        </w:rPr>
        <w:t>6</w:t>
      </w:r>
      <w:bookmarkEnd w:id="39"/>
    </w:p>
    <w:p w14:paraId="0B1F13A4">
      <w:pPr>
        <w:pStyle w:val="17"/>
        <w:rPr>
          <w:rFonts w:hint="eastAsia" w:hAnsi="宋体" w:cs="宋体"/>
          <w:color w:val="000000"/>
          <w:szCs w:val="21"/>
        </w:rPr>
      </w:pPr>
      <w:r>
        <w:rPr>
          <w:rFonts w:hint="eastAsia" w:hAnsi="宋体" w:cs="宋体"/>
          <w:color w:val="000000"/>
          <w:szCs w:val="21"/>
        </w:rPr>
        <w:tab/>
      </w:r>
      <w:bookmarkStart w:id="40" w:name="_Toc20155"/>
      <w:bookmarkStart w:id="41" w:name="_Toc6340"/>
      <w:r>
        <w:rPr>
          <w:rFonts w:hint="eastAsia" w:hAnsi="宋体" w:cs="宋体"/>
          <w:color w:val="000000"/>
          <w:szCs w:val="21"/>
        </w:rPr>
        <w:t>SF</w:t>
      </w:r>
      <w:r>
        <w:rPr>
          <w:rFonts w:hint="eastAsia" w:hAnsi="宋体" w:cs="宋体"/>
          <w:color w:val="000000"/>
          <w:szCs w:val="21"/>
          <w:vertAlign w:val="subscript"/>
        </w:rPr>
        <w:t>6</w:t>
      </w:r>
      <w:r>
        <w:rPr>
          <w:rFonts w:hint="eastAsia" w:hAnsi="宋体" w:cs="宋体"/>
          <w:color w:val="000000"/>
          <w:szCs w:val="21"/>
        </w:rPr>
        <w:t>是一种无色、无味、无毒的气体，化学式为 SF</w:t>
      </w:r>
      <w:r>
        <w:rPr>
          <w:rFonts w:hint="eastAsia" w:hAnsi="宋体" w:cs="宋体"/>
          <w:color w:val="000000"/>
          <w:szCs w:val="21"/>
          <w:vertAlign w:val="subscript"/>
        </w:rPr>
        <w:t>6</w:t>
      </w:r>
      <w:r>
        <w:rPr>
          <w:rFonts w:hint="eastAsia" w:hAnsi="宋体" w:cs="宋体"/>
          <w:color w:val="000000"/>
          <w:szCs w:val="21"/>
        </w:rPr>
        <w:t>。它是一种非常稳定的化合物，具有很高的化学惰性，不易与其他物质发生反应。</w:t>
      </w:r>
      <w:bookmarkEnd w:id="40"/>
      <w:bookmarkEnd w:id="41"/>
    </w:p>
    <w:p w14:paraId="74321222">
      <w:pPr>
        <w:pStyle w:val="17"/>
        <w:ind w:firstLine="0" w:firstLineChars="0"/>
        <w:rPr>
          <w:rFonts w:hint="eastAsia" w:ascii="黑体" w:hAnsi="黑体" w:eastAsia="黑体" w:cs="黑体"/>
          <w:color w:val="000000"/>
          <w:szCs w:val="21"/>
        </w:rPr>
      </w:pPr>
      <w:bookmarkStart w:id="42" w:name="_Toc31279"/>
      <w:r>
        <w:rPr>
          <w:rFonts w:hint="eastAsia" w:ascii="黑体" w:hAnsi="黑体" w:eastAsia="黑体" w:cs="黑体"/>
          <w:color w:val="000000"/>
          <w:szCs w:val="21"/>
        </w:rPr>
        <w:t>3.6</w:t>
      </w:r>
    </w:p>
    <w:p w14:paraId="11B28613">
      <w:pPr>
        <w:pStyle w:val="17"/>
        <w:rPr>
          <w:rFonts w:hint="eastAsia" w:ascii="黑体" w:hAnsi="黑体" w:eastAsia="黑体" w:cs="黑体"/>
          <w:color w:val="000000"/>
          <w:szCs w:val="21"/>
        </w:rPr>
      </w:pPr>
      <w:r>
        <w:rPr>
          <w:rFonts w:hint="eastAsia" w:ascii="黑体" w:hAnsi="黑体" w:eastAsia="黑体" w:cs="黑体"/>
          <w:color w:val="000000"/>
          <w:szCs w:val="21"/>
        </w:rPr>
        <w:t>气体绝缘金属封闭母线 gas insulated transmission line</w:t>
      </w:r>
      <w:bookmarkEnd w:id="42"/>
      <w:r>
        <w:rPr>
          <w:rFonts w:hint="eastAsia" w:ascii="黑体" w:hAnsi="黑体" w:eastAsia="黑体" w:cs="黑体"/>
          <w:color w:val="000000"/>
          <w:szCs w:val="21"/>
        </w:rPr>
        <w:t>,GIL</w:t>
      </w:r>
    </w:p>
    <w:p w14:paraId="6C7672BF">
      <w:pPr>
        <w:pStyle w:val="17"/>
        <w:rPr>
          <w:rFonts w:hint="eastAsia" w:hAnsi="宋体" w:cs="宋体"/>
          <w:color w:val="000000"/>
          <w:szCs w:val="21"/>
        </w:rPr>
      </w:pPr>
      <w:r>
        <w:rPr>
          <w:rFonts w:hint="eastAsia" w:hAnsi="宋体" w:cs="宋体"/>
          <w:color w:val="000000"/>
          <w:szCs w:val="21"/>
        </w:rPr>
        <w:t>以SF</w:t>
      </w:r>
      <w:r>
        <w:rPr>
          <w:rFonts w:hint="eastAsia" w:hAnsi="宋体" w:cs="宋体"/>
          <w:color w:val="000000"/>
          <w:szCs w:val="21"/>
          <w:vertAlign w:val="subscript"/>
        </w:rPr>
        <w:t>6</w:t>
      </w:r>
      <w:r>
        <w:rPr>
          <w:rFonts w:hint="eastAsia" w:hAnsi="宋体" w:cs="宋体"/>
          <w:color w:val="000000"/>
          <w:szCs w:val="21"/>
        </w:rPr>
        <w:t>或SF</w:t>
      </w:r>
      <w:r>
        <w:rPr>
          <w:rFonts w:hint="eastAsia" w:hAnsi="宋体" w:cs="宋体"/>
          <w:color w:val="000000"/>
          <w:szCs w:val="21"/>
          <w:vertAlign w:val="subscript"/>
        </w:rPr>
        <w:t>6</w:t>
      </w:r>
      <w:r>
        <w:rPr>
          <w:rFonts w:hint="eastAsia" w:hAnsi="宋体" w:cs="宋体"/>
          <w:color w:val="000000"/>
          <w:szCs w:val="21"/>
        </w:rPr>
        <w:t>混合气体为绝缘介质、导体和外壳同轴布置、用于远距离大容量输电的全封闭气体绝缘输电线路。</w:t>
      </w:r>
    </w:p>
    <w:p w14:paraId="0BD41049">
      <w:pPr>
        <w:pStyle w:val="17"/>
        <w:ind w:firstLine="0" w:firstLineChars="0"/>
        <w:rPr>
          <w:rFonts w:hint="eastAsia" w:ascii="黑体" w:hAnsi="黑体" w:eastAsia="黑体" w:cs="黑体"/>
          <w:color w:val="000000"/>
          <w:szCs w:val="21"/>
        </w:rPr>
      </w:pPr>
      <w:bookmarkStart w:id="43" w:name="_Toc2889"/>
      <w:r>
        <w:rPr>
          <w:rFonts w:hint="eastAsia" w:ascii="黑体" w:hAnsi="黑体" w:eastAsia="黑体" w:cs="黑体"/>
          <w:color w:val="000000"/>
          <w:szCs w:val="21"/>
        </w:rPr>
        <w:t>3.7</w:t>
      </w:r>
    </w:p>
    <w:p w14:paraId="41D4D7F3">
      <w:pPr>
        <w:pStyle w:val="17"/>
        <w:rPr>
          <w:rFonts w:hint="eastAsia" w:ascii="黑体" w:hAnsi="黑体" w:eastAsia="黑体" w:cs="黑体"/>
          <w:color w:val="000000"/>
          <w:szCs w:val="21"/>
        </w:rPr>
      </w:pPr>
      <w:r>
        <w:rPr>
          <w:rFonts w:hint="eastAsia" w:ascii="黑体" w:hAnsi="黑体" w:eastAsia="黑体" w:cs="黑体"/>
          <w:color w:val="000000"/>
          <w:szCs w:val="21"/>
        </w:rPr>
        <w:t>视在放电量 apparent charge</w:t>
      </w:r>
    </w:p>
    <w:p w14:paraId="4F639900">
      <w:pPr>
        <w:pStyle w:val="17"/>
        <w:rPr>
          <w:rFonts w:hint="eastAsia" w:hAnsi="宋体" w:cs="宋体"/>
          <w:color w:val="000000"/>
          <w:szCs w:val="21"/>
        </w:rPr>
      </w:pPr>
      <w:r>
        <w:rPr>
          <w:rFonts w:hint="eastAsia" w:hAnsi="宋体" w:cs="宋体"/>
          <w:color w:val="000000"/>
          <w:szCs w:val="21"/>
        </w:rPr>
        <w:t>用pC（皮库仑）表示的、按IEC 60270规定方法在指定端子上测得的局部放电量，反映放电强度的量化指标。</w:t>
      </w:r>
    </w:p>
    <w:p w14:paraId="74C34BF6">
      <w:pPr>
        <w:pStyle w:val="17"/>
        <w:ind w:firstLine="0" w:firstLineChars="0"/>
        <w:rPr>
          <w:rFonts w:hint="eastAsia" w:ascii="黑体" w:hAnsi="黑体" w:eastAsia="黑体" w:cs="黑体"/>
          <w:color w:val="000000"/>
          <w:szCs w:val="21"/>
        </w:rPr>
      </w:pPr>
      <w:r>
        <w:rPr>
          <w:rFonts w:hint="eastAsia" w:ascii="黑体" w:hAnsi="黑体" w:eastAsia="黑体" w:cs="黑体"/>
          <w:color w:val="000000"/>
          <w:szCs w:val="21"/>
        </w:rPr>
        <w:t xml:space="preserve">3.8 </w:t>
      </w:r>
    </w:p>
    <w:p w14:paraId="5E340AD2">
      <w:pPr>
        <w:pStyle w:val="17"/>
        <w:rPr>
          <w:rFonts w:hint="eastAsia" w:ascii="黑体" w:hAnsi="黑体" w:eastAsia="黑体" w:cs="黑体"/>
          <w:color w:val="000000"/>
          <w:szCs w:val="21"/>
        </w:rPr>
      </w:pPr>
      <w:r>
        <w:rPr>
          <w:rFonts w:hint="eastAsia" w:ascii="黑体" w:hAnsi="黑体" w:eastAsia="黑体" w:cs="黑体"/>
          <w:color w:val="000000"/>
          <w:szCs w:val="21"/>
        </w:rPr>
        <w:t>背景噪声 background noise</w:t>
      </w:r>
    </w:p>
    <w:p w14:paraId="7DE362ED">
      <w:pPr>
        <w:pStyle w:val="17"/>
        <w:rPr>
          <w:rFonts w:hint="eastAsia" w:hAnsi="宋体" w:cs="宋体"/>
          <w:color w:val="000000"/>
          <w:szCs w:val="21"/>
        </w:rPr>
      </w:pPr>
      <w:r>
        <w:rPr>
          <w:rFonts w:hint="eastAsia" w:hAnsi="宋体" w:cs="宋体"/>
          <w:color w:val="000000"/>
          <w:szCs w:val="21"/>
        </w:rPr>
        <w:t>在被试设备未加压或局部放电信号被有效抑制时，检测系统所记录到的干扰信号水平，通常以mV、dBm或pC表示。</w:t>
      </w:r>
    </w:p>
    <w:p w14:paraId="7A6B8C60">
      <w:pPr>
        <w:pStyle w:val="17"/>
        <w:ind w:firstLine="0" w:firstLineChars="0"/>
        <w:rPr>
          <w:rFonts w:hint="eastAsia" w:ascii="黑体" w:hAnsi="黑体" w:eastAsia="黑体" w:cs="黑体"/>
          <w:color w:val="000000"/>
          <w:szCs w:val="21"/>
        </w:rPr>
      </w:pPr>
      <w:r>
        <w:rPr>
          <w:rFonts w:hint="eastAsia" w:ascii="黑体" w:hAnsi="黑体" w:eastAsia="黑体" w:cs="黑体"/>
          <w:color w:val="000000"/>
          <w:szCs w:val="21"/>
        </w:rPr>
        <w:t>3.9</w:t>
      </w:r>
    </w:p>
    <w:p w14:paraId="59A8754C">
      <w:pPr>
        <w:pStyle w:val="17"/>
        <w:rPr>
          <w:rFonts w:hint="eastAsia" w:ascii="黑体" w:hAnsi="黑体" w:eastAsia="黑体" w:cs="黑体"/>
          <w:color w:val="000000"/>
          <w:szCs w:val="21"/>
        </w:rPr>
      </w:pPr>
      <w:r>
        <w:rPr>
          <w:rFonts w:hint="eastAsia" w:ascii="黑体" w:hAnsi="黑体" w:eastAsia="黑体" w:cs="黑体"/>
          <w:color w:val="000000"/>
          <w:szCs w:val="21"/>
        </w:rPr>
        <w:t>相位相关局放图谱 phase resolved partical discharge, PRPD</w:t>
      </w:r>
      <w:bookmarkEnd w:id="43"/>
    </w:p>
    <w:p w14:paraId="5434EDEC">
      <w:pPr>
        <w:pStyle w:val="17"/>
        <w:rPr>
          <w:rFonts w:hint="eastAsia" w:hAnsi="宋体" w:cs="宋体"/>
          <w:color w:val="000000"/>
          <w:szCs w:val="21"/>
        </w:rPr>
      </w:pPr>
      <w:r>
        <w:rPr>
          <w:rFonts w:hint="eastAsia" w:hAnsi="宋体" w:cs="宋体"/>
          <w:color w:val="000000"/>
          <w:szCs w:val="21"/>
        </w:rPr>
        <w:t>以工频电压相位（0°～360°）为横轴、以放电幅值为纵轴、以颜色或点密度表示放电重复率的二维或三维图谱，用于反映局部放电的相位分布特性。</w:t>
      </w:r>
    </w:p>
    <w:p w14:paraId="17FBC5CC">
      <w:pPr>
        <w:pStyle w:val="17"/>
        <w:ind w:firstLine="0" w:firstLineChars="0"/>
        <w:rPr>
          <w:rFonts w:hint="eastAsia" w:ascii="黑体" w:hAnsi="黑体" w:eastAsia="黑体" w:cs="黑体"/>
          <w:color w:val="000000"/>
          <w:szCs w:val="21"/>
        </w:rPr>
      </w:pPr>
      <w:r>
        <w:rPr>
          <w:rFonts w:hint="eastAsia" w:ascii="黑体" w:hAnsi="黑体" w:eastAsia="黑体" w:cs="黑体"/>
          <w:color w:val="000000"/>
          <w:szCs w:val="21"/>
        </w:rPr>
        <w:t>3.10</w:t>
      </w:r>
    </w:p>
    <w:p w14:paraId="1911772F">
      <w:pPr>
        <w:pStyle w:val="17"/>
        <w:rPr>
          <w:rFonts w:hint="eastAsia" w:ascii="黑体" w:hAnsi="黑体" w:eastAsia="黑体" w:cs="黑体"/>
          <w:color w:val="000000"/>
          <w:szCs w:val="21"/>
        </w:rPr>
      </w:pPr>
      <w:r>
        <w:rPr>
          <w:rFonts w:hint="eastAsia" w:ascii="黑体" w:hAnsi="黑体" w:eastAsia="黑体" w:cs="黑体"/>
          <w:color w:val="000000"/>
          <w:szCs w:val="21"/>
        </w:rPr>
        <w:t>相位分辨脉冲序列图谱 phase resolved pulse sequence, PRPS</w:t>
      </w:r>
    </w:p>
    <w:p w14:paraId="0BFDB2D0">
      <w:pPr>
        <w:pStyle w:val="17"/>
        <w:rPr>
          <w:rFonts w:hint="eastAsia" w:ascii="黑体" w:hAnsi="黑体" w:eastAsia="黑体" w:cs="黑体"/>
          <w:color w:val="000000"/>
          <w:szCs w:val="21"/>
        </w:rPr>
      </w:pPr>
      <w:r>
        <w:rPr>
          <w:rFonts w:hint="eastAsia" w:hAnsi="宋体" w:cs="宋体"/>
          <w:color w:val="000000"/>
          <w:szCs w:val="21"/>
        </w:rPr>
        <w:t>以工频电压相位为横轴、以连续放电脉冲序列的时序（或Δt、Δu、Δφ等）为纵轴的图谱，记录每次放电发生时刻与前一次放电的时间/电压差，主要用于分析放电物理过程及不同缺陷的微观放电机理。</w:t>
      </w:r>
    </w:p>
    <w:p w14:paraId="41748CC9">
      <w:pPr>
        <w:pStyle w:val="17"/>
        <w:ind w:firstLine="0" w:firstLineChars="0"/>
        <w:rPr>
          <w:rFonts w:hint="eastAsia" w:ascii="黑体" w:hAnsi="黑体" w:eastAsia="黑体" w:cs="黑体"/>
          <w:color w:val="000000"/>
          <w:szCs w:val="21"/>
        </w:rPr>
      </w:pPr>
      <w:r>
        <w:rPr>
          <w:rFonts w:hint="eastAsia" w:ascii="黑体" w:hAnsi="黑体" w:eastAsia="黑体" w:cs="黑体"/>
          <w:color w:val="000000"/>
          <w:szCs w:val="21"/>
        </w:rPr>
        <w:t>3.11</w:t>
      </w:r>
    </w:p>
    <w:p w14:paraId="4483A9CB">
      <w:pPr>
        <w:pStyle w:val="17"/>
        <w:rPr>
          <w:rFonts w:hint="eastAsia" w:ascii="黑体" w:hAnsi="黑体" w:eastAsia="黑体" w:cs="黑体"/>
          <w:color w:val="000000"/>
          <w:szCs w:val="21"/>
        </w:rPr>
      </w:pPr>
      <w:r>
        <w:rPr>
          <w:rFonts w:hint="eastAsia" w:ascii="黑体" w:hAnsi="黑体" w:eastAsia="黑体" w:cs="黑体"/>
          <w:color w:val="000000"/>
          <w:szCs w:val="21"/>
        </w:rPr>
        <w:t>特高频传感器 ultra high frequency sensor</w:t>
      </w:r>
    </w:p>
    <w:p w14:paraId="00698A22">
      <w:pPr>
        <w:pStyle w:val="17"/>
        <w:rPr>
          <w:rFonts w:hint="eastAsia" w:hAnsi="宋体" w:cs="宋体"/>
          <w:color w:val="000000"/>
          <w:szCs w:val="21"/>
        </w:rPr>
      </w:pPr>
      <w:r>
        <w:rPr>
          <w:rFonts w:hint="eastAsia" w:hAnsi="宋体" w:cs="宋体"/>
          <w:color w:val="000000"/>
          <w:szCs w:val="21"/>
        </w:rPr>
        <w:t>用于检测局部放电激发的频率主要集中在300MHz～3GHz范围内的电磁波信号的传感器。可分为内置式（预埋或后装于GIL内部）和外置式（安装于盆式绝缘子观察窗或浇筑口位置）两种。</w:t>
      </w:r>
    </w:p>
    <w:p w14:paraId="47FC225D">
      <w:pPr>
        <w:pStyle w:val="17"/>
        <w:ind w:firstLine="0" w:firstLineChars="0"/>
        <w:rPr>
          <w:rFonts w:hint="eastAsia" w:ascii="黑体" w:hAnsi="黑体" w:eastAsia="黑体" w:cs="黑体"/>
          <w:color w:val="000000"/>
          <w:szCs w:val="21"/>
        </w:rPr>
      </w:pPr>
      <w:r>
        <w:rPr>
          <w:rFonts w:hint="eastAsia" w:ascii="黑体" w:hAnsi="黑体" w:eastAsia="黑体" w:cs="黑体"/>
          <w:color w:val="000000"/>
          <w:szCs w:val="21"/>
        </w:rPr>
        <w:t>3.12</w:t>
      </w:r>
    </w:p>
    <w:p w14:paraId="2D99B779">
      <w:pPr>
        <w:pStyle w:val="17"/>
        <w:rPr>
          <w:rFonts w:hint="eastAsia" w:ascii="黑体" w:hAnsi="黑体" w:eastAsia="黑体" w:cs="黑体"/>
          <w:color w:val="000000"/>
          <w:szCs w:val="21"/>
        </w:rPr>
      </w:pPr>
      <w:r>
        <w:rPr>
          <w:rFonts w:hint="eastAsia" w:ascii="黑体" w:hAnsi="黑体" w:eastAsia="黑体" w:cs="黑体"/>
          <w:color w:val="000000"/>
          <w:szCs w:val="21"/>
        </w:rPr>
        <w:t>超声传感器 acoustic emission sensor</w:t>
      </w:r>
    </w:p>
    <w:p w14:paraId="3598885D">
      <w:pPr>
        <w:pStyle w:val="17"/>
        <w:rPr>
          <w:rFonts w:hint="eastAsia" w:hAnsi="宋体" w:cs="宋体"/>
          <w:color w:val="000000"/>
          <w:szCs w:val="21"/>
        </w:rPr>
      </w:pPr>
      <w:r>
        <w:rPr>
          <w:rFonts w:hAnsi="宋体" w:cs="宋体"/>
          <w:color w:val="000000"/>
          <w:szCs w:val="21"/>
        </w:rPr>
        <w:t>通过压电效应将局部放电在SF₆气体或绝缘件中产生的声波信号转换为电信号的传感器，通常工作频率范围为20 kHz～200 kHz，主要用于局部放电的粗略定位和辅助判别</w:t>
      </w:r>
      <w:r>
        <w:rPr>
          <w:rFonts w:hint="eastAsia" w:hAnsi="宋体" w:cs="宋体"/>
          <w:color w:val="000000"/>
          <w:szCs w:val="21"/>
        </w:rPr>
        <w:t>。</w:t>
      </w:r>
    </w:p>
    <w:p w14:paraId="1ADE5CC6">
      <w:pPr>
        <w:pStyle w:val="17"/>
        <w:ind w:firstLine="0" w:firstLineChars="0"/>
        <w:rPr>
          <w:rFonts w:hint="eastAsia" w:ascii="黑体" w:hAnsi="黑体" w:eastAsia="黑体" w:cs="黑体"/>
          <w:color w:val="000000"/>
          <w:szCs w:val="21"/>
        </w:rPr>
      </w:pPr>
      <w:r>
        <w:rPr>
          <w:rFonts w:hint="eastAsia" w:ascii="黑体" w:hAnsi="黑体" w:eastAsia="黑体" w:cs="黑体"/>
          <w:color w:val="000000"/>
          <w:szCs w:val="21"/>
        </w:rPr>
        <w:t>3.13</w:t>
      </w:r>
    </w:p>
    <w:p w14:paraId="4F418F37">
      <w:pPr>
        <w:pStyle w:val="17"/>
        <w:rPr>
          <w:rFonts w:hint="eastAsia" w:ascii="黑体" w:hAnsi="黑体" w:eastAsia="黑体" w:cs="黑体"/>
          <w:color w:val="000000"/>
          <w:szCs w:val="21"/>
        </w:rPr>
      </w:pPr>
      <w:r>
        <w:rPr>
          <w:rFonts w:hint="eastAsia" w:ascii="黑体" w:hAnsi="黑体" w:eastAsia="黑体" w:cs="黑体"/>
          <w:color w:val="000000"/>
          <w:szCs w:val="21"/>
        </w:rPr>
        <w:t>设备缺陷等级 equipment defect level</w:t>
      </w:r>
    </w:p>
    <w:p w14:paraId="67F5DBCC">
      <w:pPr>
        <w:pStyle w:val="17"/>
        <w:rPr>
          <w:rFonts w:hint="eastAsia" w:hAnsi="宋体" w:cs="宋体"/>
          <w:color w:val="000000"/>
          <w:szCs w:val="21"/>
        </w:rPr>
      </w:pPr>
      <w:r>
        <w:rPr>
          <w:rFonts w:hAnsi="宋体" w:cs="宋体"/>
          <w:color w:val="000000"/>
          <w:szCs w:val="21"/>
        </w:rPr>
        <w:t>设备缺陷按照严重程度主要分为三个</w:t>
      </w:r>
      <w:r>
        <w:rPr>
          <w:rFonts w:hint="eastAsia" w:hAnsi="宋体" w:cs="宋体"/>
          <w:color w:val="000000"/>
          <w:szCs w:val="21"/>
        </w:rPr>
        <w:t>等级：一般缺陷、重大缺陷和紧急缺陷。</w:t>
      </w:r>
    </w:p>
    <w:p w14:paraId="757C3BB8">
      <w:pPr>
        <w:pStyle w:val="17"/>
        <w:ind w:firstLine="0" w:firstLineChars="0"/>
        <w:rPr>
          <w:rFonts w:hint="eastAsia" w:ascii="黑体" w:hAnsi="黑体" w:eastAsia="黑体" w:cs="黑体"/>
          <w:color w:val="000000"/>
          <w:szCs w:val="21"/>
        </w:rPr>
      </w:pPr>
      <w:r>
        <w:rPr>
          <w:rFonts w:hint="eastAsia" w:ascii="黑体" w:hAnsi="黑体" w:eastAsia="黑体" w:cs="黑体"/>
          <w:color w:val="000000"/>
          <w:szCs w:val="21"/>
        </w:rPr>
        <w:t>3.14</w:t>
      </w:r>
    </w:p>
    <w:p w14:paraId="7B2BF1E4">
      <w:pPr>
        <w:pStyle w:val="17"/>
        <w:rPr>
          <w:rFonts w:hint="eastAsia" w:ascii="黑体" w:hAnsi="黑体" w:eastAsia="黑体" w:cs="黑体"/>
          <w:color w:val="000000"/>
          <w:szCs w:val="21"/>
        </w:rPr>
      </w:pPr>
      <w:r>
        <w:rPr>
          <w:rFonts w:hint="eastAsia" w:ascii="黑体" w:hAnsi="黑体" w:eastAsia="黑体" w:cs="黑体"/>
          <w:color w:val="000000"/>
          <w:szCs w:val="21"/>
        </w:rPr>
        <w:t>分贝毫瓦（dBm）</w:t>
      </w:r>
    </w:p>
    <w:p w14:paraId="516F74DE">
      <w:pPr>
        <w:pStyle w:val="17"/>
        <w:rPr>
          <w:rFonts w:hint="eastAsia" w:hAnsi="宋体" w:cs="宋体"/>
          <w:color w:val="000000"/>
          <w:szCs w:val="21"/>
        </w:rPr>
      </w:pPr>
      <w:r>
        <w:rPr>
          <w:rFonts w:hAnsi="宋体" w:cs="宋体"/>
          <w:color w:val="000000"/>
          <w:szCs w:val="21"/>
        </w:rPr>
        <w:t>在线监测装置后台显示信号幅值通常以dBm为单位，计算方法为传感器接收信号功率与1毫瓦之比对数值(以10为底的对数)的10倍，即传感器接收信号功率为S毫瓦时，在线监测装置后台显示信号幅值为101g(S/1)</w:t>
      </w:r>
      <w:r>
        <w:rPr>
          <w:rFonts w:hint="eastAsia" w:hAnsi="宋体" w:cs="宋体"/>
          <w:color w:val="000000"/>
          <w:szCs w:val="21"/>
        </w:rPr>
        <w:t>。</w:t>
      </w:r>
    </w:p>
    <w:p w14:paraId="2CB489A9">
      <w:pPr>
        <w:pStyle w:val="17"/>
        <w:ind w:firstLine="0" w:firstLineChars="0"/>
        <w:rPr>
          <w:rFonts w:hint="eastAsia" w:ascii="黑体" w:hAnsi="黑体" w:eastAsia="黑体" w:cs="黑体"/>
          <w:color w:val="000000"/>
          <w:szCs w:val="21"/>
        </w:rPr>
      </w:pPr>
      <w:r>
        <w:rPr>
          <w:rFonts w:hint="eastAsia" w:ascii="黑体" w:hAnsi="黑体" w:eastAsia="黑体" w:cs="黑体"/>
          <w:color w:val="000000"/>
          <w:szCs w:val="21"/>
        </w:rPr>
        <w:t xml:space="preserve">3.15 </w:t>
      </w:r>
    </w:p>
    <w:p w14:paraId="24FD7C50">
      <w:pPr>
        <w:pStyle w:val="17"/>
        <w:rPr>
          <w:rFonts w:hint="eastAsia" w:ascii="黑体" w:hAnsi="黑体" w:eastAsia="黑体" w:cs="黑体"/>
          <w:color w:val="000000"/>
          <w:szCs w:val="21"/>
        </w:rPr>
      </w:pPr>
      <w:r>
        <w:rPr>
          <w:rFonts w:hint="eastAsia" w:ascii="黑体" w:hAnsi="黑体" w:eastAsia="黑体" w:cs="黑体"/>
          <w:color w:val="000000"/>
          <w:szCs w:val="21"/>
        </w:rPr>
        <w:t>dB（分贝）和dBm变化量</w:t>
      </w:r>
    </w:p>
    <w:p w14:paraId="524CD188">
      <w:pPr>
        <w:pStyle w:val="17"/>
        <w:rPr>
          <w:rFonts w:hint="eastAsia" w:hAnsi="宋体" w:cs="宋体"/>
          <w:color w:val="000000"/>
          <w:szCs w:val="21"/>
        </w:rPr>
      </w:pPr>
      <w:r>
        <w:rPr>
          <w:rFonts w:hint="eastAsia" w:hAnsi="宋体" w:cs="宋体"/>
          <w:color w:val="000000"/>
          <w:szCs w:val="21"/>
        </w:rPr>
        <w:t>电压信号变化量通常以dB为单位,当信号电压值由A变化至B时,计算方法为幅值B与幅值A之比对数值(以10为底的对数)的20倍,即201g(B/A)。</w:t>
      </w:r>
    </w:p>
    <w:p w14:paraId="5CFF0F62">
      <w:pPr>
        <w:pStyle w:val="17"/>
        <w:rPr>
          <w:rFonts w:hint="eastAsia" w:hAnsi="宋体" w:cs="宋体"/>
          <w:color w:val="000000"/>
          <w:szCs w:val="21"/>
        </w:rPr>
      </w:pPr>
      <w:r>
        <w:rPr>
          <w:rFonts w:hint="eastAsia" w:hAnsi="宋体" w:cs="宋体"/>
          <w:color w:val="000000"/>
          <w:szCs w:val="21"/>
        </w:rPr>
        <w:t>功率变化量通常以dBm为单位,当信号功率值A变化至B时,计算方法为功率值B与A之比对数(以10为底的对数)值的10倍,即101g(B/A)。</w:t>
      </w:r>
    </w:p>
    <w:p w14:paraId="3B261084">
      <w:pPr>
        <w:pStyle w:val="37"/>
        <w:ind w:left="0"/>
        <w:outlineLvl w:val="0"/>
        <w:rPr>
          <w:color w:val="000000"/>
          <w:sz w:val="24"/>
          <w:szCs w:val="24"/>
        </w:rPr>
      </w:pPr>
      <w:bookmarkStart w:id="44" w:name="_Toc12515"/>
      <w:r>
        <w:rPr>
          <w:rFonts w:hint="eastAsia"/>
          <w:color w:val="000000"/>
          <w:sz w:val="24"/>
          <w:szCs w:val="24"/>
        </w:rPr>
        <w:t>检测方法与技术要求</w:t>
      </w:r>
      <w:bookmarkEnd w:id="44"/>
    </w:p>
    <w:p w14:paraId="29B3BF3F">
      <w:pPr>
        <w:pStyle w:val="17"/>
        <w:rPr>
          <w:color w:val="000000"/>
          <w:szCs w:val="21"/>
        </w:rPr>
      </w:pPr>
      <w:r>
        <w:rPr>
          <w:rFonts w:hint="eastAsia"/>
          <w:color w:val="000000"/>
          <w:szCs w:val="21"/>
        </w:rPr>
        <w:t>本导则通过特高频（UHF）检测、超声（AE）检测、X射线检测及SF₆气体分解产物检测等多种方法，从电磁、声学、成像及化学维度对盆式绝缘子可能存在的局部放电缺陷进行识别和状态评估。附录A</w:t>
      </w:r>
      <w:r>
        <w:rPr>
          <w:rFonts w:hint="eastAsia"/>
        </w:rPr>
        <w:t>提供了GIL盆式绝缘子绝缘类缺陷模拟实验室试验方案，可作为</w:t>
      </w:r>
      <w:r>
        <w:rPr>
          <w:rFonts w:hint="eastAsia"/>
          <w:color w:val="000000"/>
          <w:szCs w:val="21"/>
        </w:rPr>
        <w:t>上述检测方法应用参考。各检测方法及技术要求如下。</w:t>
      </w:r>
    </w:p>
    <w:p w14:paraId="78BEA5FE">
      <w:pPr>
        <w:pStyle w:val="34"/>
        <w:rPr>
          <w:color w:val="000000"/>
        </w:rPr>
      </w:pPr>
      <w:r>
        <w:rPr>
          <w:rFonts w:hint="eastAsia"/>
          <w:color w:val="000000"/>
        </w:rPr>
        <w:t>特高频检测</w:t>
      </w:r>
    </w:p>
    <w:p w14:paraId="4C26EBF1">
      <w:pPr>
        <w:pStyle w:val="17"/>
        <w:rPr>
          <w:color w:val="000000"/>
          <w:szCs w:val="21"/>
        </w:rPr>
      </w:pPr>
      <w:r>
        <w:rPr>
          <w:rFonts w:hint="eastAsia"/>
          <w:color w:val="000000"/>
          <w:szCs w:val="21"/>
        </w:rPr>
        <w:t>当GIL设备内部发生局部放电时，短上升沿时间（&lt;1 ns）的脉冲电流会激发3 MHz～3 GHz范围内的电磁波，能够穿透GIL金属外壳并被特高频传感器接收。UHF检测具有抗干扰能力强、定位精度高的特点，是盆式绝缘子绝缘缺陷检测的主要手段。</w:t>
      </w:r>
    </w:p>
    <w:p w14:paraId="0A8DD1E0">
      <w:pPr>
        <w:pStyle w:val="17"/>
        <w:rPr>
          <w:color w:val="000000"/>
          <w:szCs w:val="21"/>
        </w:rPr>
      </w:pPr>
      <w:r>
        <w:rPr>
          <w:rFonts w:hint="eastAsia"/>
          <w:color w:val="000000"/>
          <w:szCs w:val="21"/>
        </w:rPr>
        <w:t>特高频检测仪器应满足以下技术要求：</w:t>
      </w:r>
    </w:p>
    <w:p w14:paraId="7E84D8DB">
      <w:pPr>
        <w:pStyle w:val="17"/>
        <w:rPr>
          <w:color w:val="000000"/>
          <w:szCs w:val="21"/>
        </w:rPr>
      </w:pPr>
      <w:r>
        <w:rPr>
          <w:rFonts w:hint="eastAsia"/>
          <w:color w:val="000000"/>
          <w:szCs w:val="21"/>
        </w:rPr>
        <w:t>a) 检测频率范围：通常选用300MHz～3000MHz之间的某个子频段，典型的如300MHz～1500MHz;</w:t>
      </w:r>
    </w:p>
    <w:p w14:paraId="51AF0469">
      <w:pPr>
        <w:pStyle w:val="17"/>
        <w:rPr>
          <w:color w:val="000000"/>
          <w:szCs w:val="21"/>
        </w:rPr>
      </w:pPr>
      <w:r>
        <w:rPr>
          <w:rFonts w:hint="eastAsia"/>
          <w:color w:val="000000"/>
          <w:szCs w:val="21"/>
        </w:rPr>
        <w:t>b) 传感器在300MHz～1500MHz频带内平均有效高度不小于8mm;</w:t>
      </w:r>
    </w:p>
    <w:p w14:paraId="79BF42D6">
      <w:pPr>
        <w:pStyle w:val="17"/>
        <w:rPr>
          <w:color w:val="000000"/>
          <w:szCs w:val="21"/>
        </w:rPr>
      </w:pPr>
      <w:r>
        <w:rPr>
          <w:rFonts w:hint="eastAsia"/>
          <w:color w:val="000000"/>
          <w:szCs w:val="21"/>
        </w:rPr>
        <w:t>c) 检测灵敏度不大于7V/m;</w:t>
      </w:r>
    </w:p>
    <w:p w14:paraId="3AD7B503">
      <w:pPr>
        <w:pStyle w:val="17"/>
        <w:rPr>
          <w:color w:val="000000"/>
          <w:szCs w:val="21"/>
        </w:rPr>
      </w:pPr>
      <w:r>
        <w:rPr>
          <w:rFonts w:hint="eastAsia"/>
          <w:color w:val="000000"/>
          <w:szCs w:val="21"/>
        </w:rPr>
        <w:t>d) 动态范围不小于40dB。</w:t>
      </w:r>
    </w:p>
    <w:p w14:paraId="2DCFE5DC">
      <w:pPr>
        <w:pStyle w:val="34"/>
        <w:rPr>
          <w:color w:val="000000"/>
        </w:rPr>
      </w:pPr>
      <w:r>
        <w:rPr>
          <w:rFonts w:hint="eastAsia"/>
          <w:color w:val="000000"/>
        </w:rPr>
        <w:t>超声检测</w:t>
      </w:r>
    </w:p>
    <w:p w14:paraId="45889A09">
      <w:pPr>
        <w:pStyle w:val="17"/>
        <w:rPr>
          <w:color w:val="000000"/>
          <w:szCs w:val="21"/>
        </w:rPr>
      </w:pPr>
      <w:r>
        <w:rPr>
          <w:rFonts w:hint="eastAsia"/>
          <w:color w:val="000000"/>
          <w:szCs w:val="21"/>
        </w:rPr>
        <w:t>GIL中缺陷产生超声波信号（机械波）主要有两种机制：1)运动的颗粒在外壳中激发机械波；2)固定缺陷的局部放电在气体中产生压力波并传播至外壳。这些超声波信号的频率范围通常在20kHz-200kHz之间，伴随传播衰减，适用于局部放电源的声学定位与缺陷类型辅助判别。</w:t>
      </w:r>
    </w:p>
    <w:p w14:paraId="50A0DE8A">
      <w:pPr>
        <w:pStyle w:val="17"/>
        <w:rPr>
          <w:color w:val="000000"/>
          <w:szCs w:val="21"/>
        </w:rPr>
      </w:pPr>
      <w:r>
        <w:rPr>
          <w:rFonts w:hint="eastAsia"/>
          <w:color w:val="000000"/>
          <w:szCs w:val="21"/>
        </w:rPr>
        <w:t>超声检测仪器应满足以下技术要求：</w:t>
      </w:r>
    </w:p>
    <w:p w14:paraId="20532902">
      <w:pPr>
        <w:pStyle w:val="17"/>
        <w:numPr>
          <w:ilvl w:val="0"/>
          <w:numId w:val="18"/>
        </w:numPr>
        <w:rPr>
          <w:color w:val="000000"/>
          <w:szCs w:val="21"/>
        </w:rPr>
      </w:pPr>
      <w:r>
        <w:rPr>
          <w:rFonts w:hint="eastAsia"/>
          <w:color w:val="000000"/>
          <w:szCs w:val="21"/>
        </w:rPr>
        <w:t>检测频率范围：通常选用20kHz-300kHz频率;</w:t>
      </w:r>
    </w:p>
    <w:p w14:paraId="5AB112BA">
      <w:pPr>
        <w:pStyle w:val="17"/>
        <w:numPr>
          <w:ilvl w:val="0"/>
          <w:numId w:val="18"/>
        </w:numPr>
        <w:rPr>
          <w:color w:val="000000"/>
          <w:szCs w:val="21"/>
        </w:rPr>
      </w:pPr>
      <w:r>
        <w:rPr>
          <w:rFonts w:hint="eastAsia"/>
          <w:color w:val="000000"/>
          <w:szCs w:val="21"/>
        </w:rPr>
        <w:t>采样率不小于1MHz。</w:t>
      </w:r>
    </w:p>
    <w:p w14:paraId="35D9EFF4">
      <w:pPr>
        <w:pStyle w:val="34"/>
        <w:rPr>
          <w:color w:val="000000"/>
        </w:rPr>
      </w:pPr>
      <w:r>
        <w:rPr>
          <w:rFonts w:hint="eastAsia"/>
          <w:color w:val="000000"/>
        </w:rPr>
        <w:t>X射线检测</w:t>
      </w:r>
    </w:p>
    <w:p w14:paraId="6195CF7E">
      <w:pPr>
        <w:pStyle w:val="17"/>
        <w:rPr>
          <w:color w:val="000000"/>
          <w:szCs w:val="21"/>
        </w:rPr>
      </w:pPr>
      <w:r>
        <w:rPr>
          <w:rFonts w:hint="eastAsia"/>
          <w:color w:val="000000"/>
          <w:szCs w:val="21"/>
        </w:rPr>
        <w:t>当GIL设备内部存在金属部件松动、断裂、异物、绝缘件裂纹或装配不良等结构类缺陷时，X射线成像检测可作为非破坏性辅助诊断手段，用于可视化定位与状态判别。</w:t>
      </w:r>
    </w:p>
    <w:p w14:paraId="719FDCFF">
      <w:pPr>
        <w:pStyle w:val="17"/>
        <w:rPr>
          <w:color w:val="000000"/>
          <w:szCs w:val="21"/>
        </w:rPr>
      </w:pPr>
      <w:r>
        <w:rPr>
          <w:rFonts w:hint="eastAsia"/>
          <w:color w:val="000000"/>
          <w:szCs w:val="21"/>
        </w:rPr>
        <w:t>X射线检测设备应满足以下技术要求：</w:t>
      </w:r>
    </w:p>
    <w:p w14:paraId="29D93700">
      <w:pPr>
        <w:pStyle w:val="17"/>
        <w:numPr>
          <w:ilvl w:val="0"/>
          <w:numId w:val="19"/>
        </w:numPr>
        <w:rPr>
          <w:color w:val="000000"/>
          <w:szCs w:val="21"/>
        </w:rPr>
      </w:pPr>
      <w:r>
        <w:rPr>
          <w:rFonts w:hint="eastAsia"/>
          <w:color w:val="000000"/>
          <w:szCs w:val="21"/>
        </w:rPr>
        <w:t>管电压：0-160kV</w:t>
      </w:r>
    </w:p>
    <w:p w14:paraId="6BD1F3CF">
      <w:pPr>
        <w:pStyle w:val="17"/>
        <w:numPr>
          <w:ilvl w:val="0"/>
          <w:numId w:val="19"/>
        </w:numPr>
        <w:rPr>
          <w:color w:val="000000"/>
          <w:szCs w:val="21"/>
        </w:rPr>
      </w:pPr>
      <w:r>
        <w:rPr>
          <w:rFonts w:hint="eastAsia"/>
          <w:color w:val="000000"/>
          <w:szCs w:val="21"/>
        </w:rPr>
        <w:t>管电流：0-3mA</w:t>
      </w:r>
    </w:p>
    <w:p w14:paraId="676EC998">
      <w:pPr>
        <w:pStyle w:val="17"/>
        <w:numPr>
          <w:ilvl w:val="0"/>
          <w:numId w:val="19"/>
        </w:numPr>
        <w:rPr>
          <w:color w:val="000000"/>
          <w:szCs w:val="21"/>
        </w:rPr>
      </w:pPr>
      <w:r>
        <w:rPr>
          <w:rFonts w:hint="eastAsia"/>
          <w:color w:val="000000"/>
          <w:szCs w:val="21"/>
        </w:rPr>
        <w:t>成像分辨率不低于4.5LP/mm</w:t>
      </w:r>
    </w:p>
    <w:p w14:paraId="695C6161">
      <w:pPr>
        <w:pStyle w:val="17"/>
        <w:numPr>
          <w:ilvl w:val="0"/>
          <w:numId w:val="19"/>
        </w:numPr>
        <w:rPr>
          <w:color w:val="000000"/>
          <w:szCs w:val="21"/>
        </w:rPr>
      </w:pPr>
      <w:r>
        <w:rPr>
          <w:rFonts w:hint="eastAsia"/>
          <w:color w:val="000000"/>
          <w:szCs w:val="21"/>
        </w:rPr>
        <w:t>静态灵敏度不低于1.5%</w:t>
      </w:r>
    </w:p>
    <w:p w14:paraId="396B7A79">
      <w:pPr>
        <w:pStyle w:val="17"/>
        <w:numPr>
          <w:ilvl w:val="0"/>
          <w:numId w:val="19"/>
        </w:numPr>
        <w:rPr>
          <w:color w:val="000000"/>
          <w:szCs w:val="21"/>
        </w:rPr>
      </w:pPr>
      <w:r>
        <w:rPr>
          <w:rFonts w:hint="eastAsia"/>
          <w:color w:val="000000"/>
          <w:szCs w:val="21"/>
        </w:rPr>
        <w:t>对铝合金穿透能力不小于120mm</w:t>
      </w:r>
    </w:p>
    <w:p w14:paraId="3B7A4EC4">
      <w:pPr>
        <w:pStyle w:val="34"/>
        <w:rPr>
          <w:color w:val="000000"/>
        </w:rPr>
      </w:pPr>
      <w:r>
        <w:rPr>
          <w:rFonts w:hint="eastAsia"/>
          <w:color w:val="000000"/>
        </w:rPr>
        <w:t>SF</w:t>
      </w:r>
      <w:r>
        <w:rPr>
          <w:rFonts w:hint="eastAsia"/>
          <w:color w:val="000000"/>
          <w:vertAlign w:val="subscript"/>
        </w:rPr>
        <w:t>6</w:t>
      </w:r>
      <w:r>
        <w:rPr>
          <w:rFonts w:hint="eastAsia"/>
          <w:color w:val="000000"/>
        </w:rPr>
        <w:t>气体分解产物检测</w:t>
      </w:r>
    </w:p>
    <w:p w14:paraId="210C1ACF">
      <w:pPr>
        <w:pStyle w:val="17"/>
      </w:pPr>
      <w:r>
        <w:rPr>
          <w:rFonts w:hint="eastAsia"/>
        </w:rPr>
        <w:t>当GIL内部发生严重局部放电、电弧放电或高温过热时，SF</w:t>
      </w:r>
      <w:r>
        <w:rPr>
          <w:rFonts w:hint="eastAsia"/>
          <w:vertAlign w:val="subscript"/>
        </w:rPr>
        <w:t>6</w:t>
      </w:r>
      <w:r>
        <w:rPr>
          <w:rFonts w:hint="eastAsia"/>
        </w:rPr>
        <w:t>气体会发生热分解，生成以SO</w:t>
      </w:r>
      <w:r>
        <w:rPr>
          <w:rFonts w:hint="eastAsia"/>
          <w:vertAlign w:val="subscript"/>
        </w:rPr>
        <w:t>2</w:t>
      </w:r>
      <w:r>
        <w:rPr>
          <w:rFonts w:hint="eastAsia"/>
        </w:rPr>
        <w:t>、H</w:t>
      </w:r>
      <w:r>
        <w:rPr>
          <w:rFonts w:hint="eastAsia"/>
          <w:vertAlign w:val="subscript"/>
        </w:rPr>
        <w:t>2</w:t>
      </w:r>
      <w:r>
        <w:rPr>
          <w:rFonts w:hint="eastAsia"/>
        </w:rPr>
        <w:t>S、CF</w:t>
      </w:r>
      <w:r>
        <w:rPr>
          <w:rFonts w:hint="eastAsia"/>
          <w:vertAlign w:val="subscript"/>
        </w:rPr>
        <w:t>4</w:t>
      </w:r>
      <w:r>
        <w:rPr>
          <w:rFonts w:hint="eastAsia"/>
        </w:rPr>
        <w:t>、CO、H</w:t>
      </w:r>
      <w:r>
        <w:rPr>
          <w:rFonts w:hint="eastAsia"/>
          <w:vertAlign w:val="subscript"/>
        </w:rPr>
        <w:t>2</w:t>
      </w:r>
      <w:r>
        <w:rPr>
          <w:rFonts w:hint="eastAsia"/>
        </w:rPr>
        <w:t>等为主的特征性气体组分。这些分解产物的种类与浓度可间接反映绝缘缺陷的严重程度与发展状态，适用于长期在线监测与异常趋势分析。</w:t>
      </w:r>
    </w:p>
    <w:p w14:paraId="5CC7519E">
      <w:pPr>
        <w:pStyle w:val="17"/>
        <w:rPr>
          <w:color w:val="000000"/>
          <w:szCs w:val="21"/>
        </w:rPr>
      </w:pPr>
      <w:r>
        <w:rPr>
          <w:rFonts w:hint="eastAsia"/>
          <w:color w:val="000000"/>
          <w:szCs w:val="21"/>
        </w:rPr>
        <w:t>SF6气体分解产物检测仪器应满足以下技术要求：</w:t>
      </w:r>
    </w:p>
    <w:p w14:paraId="1B01C121">
      <w:pPr>
        <w:pStyle w:val="17"/>
        <w:numPr>
          <w:ilvl w:val="0"/>
          <w:numId w:val="20"/>
        </w:numPr>
        <w:rPr>
          <w:color w:val="000000"/>
          <w:szCs w:val="21"/>
        </w:rPr>
      </w:pPr>
      <w:r>
        <w:rPr>
          <w:color w:val="000000"/>
          <w:szCs w:val="21"/>
        </w:rPr>
        <w:t>检测组分及最小检出浓度</w:t>
      </w:r>
      <w:r>
        <w:rPr>
          <w:rFonts w:hint="eastAsia"/>
          <w:color w:val="000000"/>
          <w:szCs w:val="21"/>
        </w:rPr>
        <w:t>：</w:t>
      </w:r>
    </w:p>
    <w:p w14:paraId="6CDBAF50">
      <w:pPr>
        <w:pStyle w:val="17"/>
        <w:ind w:left="420"/>
        <w:rPr>
          <w:color w:val="000000"/>
          <w:szCs w:val="21"/>
        </w:rPr>
      </w:pPr>
      <w:r>
        <w:rPr>
          <w:rFonts w:hint="eastAsia"/>
          <w:color w:val="000000"/>
          <w:szCs w:val="21"/>
        </w:rPr>
        <w:t>1.小量程SO</w:t>
      </w:r>
      <w:r>
        <w:rPr>
          <w:rFonts w:hint="eastAsia"/>
          <w:color w:val="000000"/>
          <w:szCs w:val="21"/>
          <w:vertAlign w:val="subscript"/>
        </w:rPr>
        <w:t>2</w:t>
      </w:r>
      <w:r>
        <w:rPr>
          <w:rFonts w:hint="eastAsia"/>
          <w:color w:val="000000"/>
          <w:szCs w:val="21"/>
        </w:rPr>
        <w:t>、H</w:t>
      </w:r>
      <w:r>
        <w:rPr>
          <w:rFonts w:hint="eastAsia"/>
          <w:color w:val="000000"/>
          <w:szCs w:val="21"/>
          <w:vertAlign w:val="subscript"/>
        </w:rPr>
        <w:t>2</w:t>
      </w:r>
      <w:r>
        <w:rPr>
          <w:rFonts w:hint="eastAsia"/>
          <w:color w:val="000000"/>
          <w:szCs w:val="21"/>
        </w:rPr>
        <w:t>S：≤0.1µL/L</w:t>
      </w:r>
    </w:p>
    <w:p w14:paraId="4B7DCB10">
      <w:pPr>
        <w:pStyle w:val="17"/>
        <w:ind w:left="420"/>
        <w:rPr>
          <w:color w:val="000000"/>
          <w:szCs w:val="21"/>
        </w:rPr>
      </w:pPr>
      <w:r>
        <w:rPr>
          <w:rFonts w:hint="eastAsia"/>
          <w:color w:val="000000"/>
          <w:szCs w:val="21"/>
        </w:rPr>
        <w:t>2.大量程SO</w:t>
      </w:r>
      <w:r>
        <w:rPr>
          <w:rFonts w:hint="eastAsia"/>
          <w:color w:val="000000"/>
          <w:szCs w:val="21"/>
          <w:vertAlign w:val="subscript"/>
        </w:rPr>
        <w:t>2</w:t>
      </w:r>
      <w:r>
        <w:rPr>
          <w:rFonts w:hint="eastAsia"/>
          <w:color w:val="000000"/>
          <w:szCs w:val="21"/>
        </w:rPr>
        <w:t>：≤1µL/L</w:t>
      </w:r>
    </w:p>
    <w:p w14:paraId="7AE1D3E0">
      <w:pPr>
        <w:pStyle w:val="17"/>
        <w:ind w:left="420"/>
        <w:rPr>
          <w:color w:val="000000"/>
          <w:szCs w:val="21"/>
        </w:rPr>
      </w:pPr>
      <w:r>
        <w:rPr>
          <w:rFonts w:hint="eastAsia"/>
          <w:color w:val="000000"/>
          <w:szCs w:val="21"/>
        </w:rPr>
        <w:t>3.CO、H</w:t>
      </w:r>
      <w:r>
        <w:rPr>
          <w:rFonts w:hint="eastAsia"/>
          <w:color w:val="000000"/>
          <w:szCs w:val="21"/>
          <w:vertAlign w:val="subscript"/>
        </w:rPr>
        <w:t>2</w:t>
      </w:r>
      <w:r>
        <w:rPr>
          <w:rFonts w:hint="eastAsia"/>
          <w:color w:val="000000"/>
          <w:szCs w:val="21"/>
        </w:rPr>
        <w:t>、CF</w:t>
      </w:r>
      <w:r>
        <w:rPr>
          <w:rFonts w:hint="eastAsia"/>
          <w:color w:val="000000"/>
          <w:szCs w:val="21"/>
          <w:vertAlign w:val="subscript"/>
        </w:rPr>
        <w:t>4</w:t>
      </w:r>
      <w:r>
        <w:rPr>
          <w:rFonts w:hint="eastAsia"/>
          <w:color w:val="000000"/>
          <w:szCs w:val="21"/>
        </w:rPr>
        <w:t>：≤0.5µL/L；</w:t>
      </w:r>
    </w:p>
    <w:p w14:paraId="18524912">
      <w:pPr>
        <w:pStyle w:val="17"/>
        <w:ind w:left="420"/>
        <w:rPr>
          <w:color w:val="000000"/>
          <w:szCs w:val="21"/>
        </w:rPr>
      </w:pPr>
      <w:r>
        <w:rPr>
          <w:rFonts w:hint="eastAsia"/>
          <w:color w:val="000000"/>
          <w:szCs w:val="21"/>
        </w:rPr>
        <w:t>4.SF</w:t>
      </w:r>
      <w:r>
        <w:rPr>
          <w:rFonts w:hint="eastAsia"/>
          <w:color w:val="000000"/>
          <w:szCs w:val="21"/>
          <w:vertAlign w:val="subscript"/>
        </w:rPr>
        <w:t>6</w:t>
      </w:r>
      <w:r>
        <w:rPr>
          <w:rFonts w:hint="eastAsia"/>
          <w:color w:val="000000"/>
          <w:szCs w:val="21"/>
        </w:rPr>
        <w:t>：≤0.03%</w:t>
      </w:r>
    </w:p>
    <w:p w14:paraId="7AFF05BB">
      <w:pPr>
        <w:pStyle w:val="17"/>
        <w:numPr>
          <w:ilvl w:val="0"/>
          <w:numId w:val="20"/>
        </w:numPr>
        <w:rPr>
          <w:color w:val="000000"/>
          <w:szCs w:val="21"/>
        </w:rPr>
      </w:pPr>
      <w:r>
        <w:rPr>
          <w:color w:val="000000"/>
          <w:szCs w:val="21"/>
        </w:rPr>
        <w:t>测量</w:t>
      </w:r>
      <w:r>
        <w:rPr>
          <w:rFonts w:hint="eastAsia"/>
          <w:color w:val="000000"/>
          <w:szCs w:val="21"/>
        </w:rPr>
        <w:t>准确度</w:t>
      </w:r>
      <w:r>
        <w:rPr>
          <w:color w:val="000000"/>
          <w:szCs w:val="21"/>
        </w:rPr>
        <w:t>：</w:t>
      </w:r>
    </w:p>
    <w:p w14:paraId="714FFDBB">
      <w:pPr>
        <w:pStyle w:val="17"/>
        <w:ind w:left="840" w:firstLine="0" w:firstLineChars="0"/>
        <w:rPr>
          <w:color w:val="000000"/>
          <w:szCs w:val="21"/>
        </w:rPr>
      </w:pPr>
      <w:r>
        <w:rPr>
          <w:rFonts w:hint="eastAsia"/>
          <w:color w:val="000000"/>
          <w:szCs w:val="21"/>
        </w:rPr>
        <w:t>1.SO</w:t>
      </w:r>
      <w:r>
        <w:rPr>
          <w:rFonts w:hint="eastAsia"/>
          <w:color w:val="000000"/>
          <w:szCs w:val="21"/>
          <w:vertAlign w:val="subscript"/>
        </w:rPr>
        <w:t>2</w:t>
      </w:r>
      <w:r>
        <w:rPr>
          <w:rFonts w:hint="eastAsia"/>
          <w:color w:val="000000"/>
          <w:szCs w:val="21"/>
        </w:rPr>
        <w:t>、H</w:t>
      </w:r>
      <w:r>
        <w:rPr>
          <w:rFonts w:hint="eastAsia"/>
          <w:color w:val="000000"/>
          <w:szCs w:val="21"/>
          <w:vertAlign w:val="subscript"/>
        </w:rPr>
        <w:t>2</w:t>
      </w:r>
      <w:r>
        <w:rPr>
          <w:rFonts w:hint="eastAsia"/>
          <w:color w:val="000000"/>
          <w:szCs w:val="21"/>
        </w:rPr>
        <w:t>S：检测值≤10µL/L时，误差≤±0.5µL/L；检测值&gt;10µL/L时，误差≤±5µL/L；</w:t>
      </w:r>
    </w:p>
    <w:p w14:paraId="3781C147">
      <w:pPr>
        <w:pStyle w:val="17"/>
        <w:ind w:left="840" w:firstLine="0" w:firstLineChars="0"/>
        <w:rPr>
          <w:color w:val="000000"/>
          <w:szCs w:val="21"/>
        </w:rPr>
      </w:pPr>
      <w:r>
        <w:rPr>
          <w:rFonts w:hint="eastAsia"/>
          <w:color w:val="000000"/>
          <w:szCs w:val="21"/>
        </w:rPr>
        <w:t>2.大量程SO2：检测值&gt;10µL/L时，误差≤±5%；</w:t>
      </w:r>
    </w:p>
    <w:p w14:paraId="2BA125A9">
      <w:pPr>
        <w:pStyle w:val="17"/>
        <w:ind w:left="840" w:firstLine="0" w:firstLineChars="0"/>
        <w:rPr>
          <w:color w:val="000000"/>
          <w:szCs w:val="21"/>
        </w:rPr>
      </w:pPr>
      <w:r>
        <w:rPr>
          <w:rFonts w:hint="eastAsia"/>
          <w:color w:val="000000"/>
          <w:szCs w:val="21"/>
        </w:rPr>
        <w:t>3.CO、H</w:t>
      </w:r>
      <w:r>
        <w:rPr>
          <w:rFonts w:hint="eastAsia"/>
          <w:color w:val="000000"/>
          <w:szCs w:val="21"/>
          <w:vertAlign w:val="subscript"/>
        </w:rPr>
        <w:t>2</w:t>
      </w:r>
      <w:r>
        <w:rPr>
          <w:rFonts w:hint="eastAsia"/>
          <w:color w:val="000000"/>
          <w:szCs w:val="21"/>
        </w:rPr>
        <w:t>、CF</w:t>
      </w:r>
      <w:r>
        <w:rPr>
          <w:rFonts w:hint="eastAsia"/>
          <w:color w:val="000000"/>
          <w:szCs w:val="21"/>
          <w:vertAlign w:val="subscript"/>
        </w:rPr>
        <w:t>4</w:t>
      </w:r>
      <w:r>
        <w:rPr>
          <w:rFonts w:hint="eastAsia"/>
          <w:color w:val="000000"/>
          <w:szCs w:val="21"/>
        </w:rPr>
        <w:t>：检测值≤50µL/L时，误差≤±2µL/L；检测值&gt;50µL/L时，误差≤±5%；</w:t>
      </w:r>
    </w:p>
    <w:p w14:paraId="05EF47C4">
      <w:pPr>
        <w:pStyle w:val="17"/>
        <w:ind w:left="840" w:firstLine="0" w:firstLineChars="0"/>
        <w:rPr>
          <w:color w:val="000000"/>
          <w:szCs w:val="21"/>
        </w:rPr>
      </w:pPr>
      <w:r>
        <w:rPr>
          <w:rFonts w:hint="eastAsia"/>
          <w:color w:val="000000"/>
          <w:szCs w:val="21"/>
        </w:rPr>
        <w:t>4.SF</w:t>
      </w:r>
      <w:r>
        <w:rPr>
          <w:rFonts w:hint="eastAsia"/>
          <w:color w:val="000000"/>
          <w:szCs w:val="21"/>
          <w:vertAlign w:val="subscript"/>
        </w:rPr>
        <w:t>6</w:t>
      </w:r>
      <w:r>
        <w:rPr>
          <w:rFonts w:hint="eastAsia"/>
          <w:color w:val="000000"/>
          <w:szCs w:val="21"/>
        </w:rPr>
        <w:t>：≤±0.01%</w:t>
      </w:r>
    </w:p>
    <w:p w14:paraId="1B108188">
      <w:pPr>
        <w:pStyle w:val="17"/>
        <w:numPr>
          <w:ilvl w:val="0"/>
          <w:numId w:val="20"/>
        </w:numPr>
        <w:rPr>
          <w:color w:val="000000"/>
          <w:szCs w:val="21"/>
        </w:rPr>
      </w:pPr>
      <w:r>
        <w:rPr>
          <w:color w:val="000000"/>
          <w:szCs w:val="21"/>
        </w:rPr>
        <w:t>测量</w:t>
      </w:r>
      <w:r>
        <w:rPr>
          <w:rFonts w:hint="eastAsia"/>
          <w:color w:val="000000"/>
          <w:szCs w:val="21"/>
        </w:rPr>
        <w:t>重复性：</w:t>
      </w:r>
    </w:p>
    <w:p w14:paraId="2043769C">
      <w:pPr>
        <w:pStyle w:val="17"/>
        <w:ind w:left="420"/>
        <w:rPr>
          <w:color w:val="000000"/>
          <w:szCs w:val="21"/>
        </w:rPr>
      </w:pPr>
      <w:r>
        <w:rPr>
          <w:rFonts w:hint="eastAsia"/>
          <w:color w:val="000000"/>
          <w:szCs w:val="21"/>
        </w:rPr>
        <w:t>1.SO</w:t>
      </w:r>
      <w:r>
        <w:rPr>
          <w:rFonts w:hint="eastAsia"/>
          <w:color w:val="000000"/>
          <w:szCs w:val="21"/>
          <w:vertAlign w:val="subscript"/>
        </w:rPr>
        <w:t>2</w:t>
      </w:r>
      <w:r>
        <w:rPr>
          <w:rFonts w:hint="eastAsia"/>
          <w:color w:val="000000"/>
          <w:szCs w:val="21"/>
        </w:rPr>
        <w:t>、H</w:t>
      </w:r>
      <w:r>
        <w:rPr>
          <w:rFonts w:hint="eastAsia"/>
          <w:color w:val="000000"/>
          <w:szCs w:val="21"/>
          <w:vertAlign w:val="subscript"/>
        </w:rPr>
        <w:t>2</w:t>
      </w:r>
      <w:r>
        <w:rPr>
          <w:rFonts w:hint="eastAsia"/>
          <w:color w:val="000000"/>
          <w:szCs w:val="21"/>
        </w:rPr>
        <w:t>S：检测值≤10µL/L时，≤±0.2µL/L；10µL/L~100µL/L时，≤±2µL/L；</w:t>
      </w:r>
    </w:p>
    <w:p w14:paraId="01BC8138">
      <w:pPr>
        <w:pStyle w:val="17"/>
        <w:ind w:left="420"/>
        <w:rPr>
          <w:color w:val="000000"/>
          <w:szCs w:val="21"/>
        </w:rPr>
      </w:pPr>
      <w:r>
        <w:rPr>
          <w:rFonts w:hint="eastAsia"/>
          <w:color w:val="000000"/>
          <w:szCs w:val="21"/>
        </w:rPr>
        <w:t>2.CO、H</w:t>
      </w:r>
      <w:r>
        <w:rPr>
          <w:rFonts w:hint="eastAsia"/>
          <w:color w:val="000000"/>
          <w:szCs w:val="21"/>
          <w:vertAlign w:val="subscript"/>
        </w:rPr>
        <w:t>2</w:t>
      </w:r>
      <w:r>
        <w:rPr>
          <w:rFonts w:hint="eastAsia"/>
          <w:color w:val="000000"/>
          <w:szCs w:val="21"/>
        </w:rPr>
        <w:t>、CF</w:t>
      </w:r>
      <w:r>
        <w:rPr>
          <w:rFonts w:hint="eastAsia"/>
          <w:color w:val="000000"/>
          <w:szCs w:val="21"/>
          <w:vertAlign w:val="subscript"/>
        </w:rPr>
        <w:t>4</w:t>
      </w:r>
      <w:r>
        <w:rPr>
          <w:rFonts w:hint="eastAsia"/>
          <w:color w:val="000000"/>
          <w:szCs w:val="21"/>
        </w:rPr>
        <w:t>：检测值在0µL/L-50µL/L时，≤±1µL/L；检测值在50µL/L-1000µL/L时，≤±2µL/L；</w:t>
      </w:r>
    </w:p>
    <w:p w14:paraId="48CF21D5">
      <w:pPr>
        <w:pStyle w:val="17"/>
        <w:ind w:left="420"/>
        <w:rPr>
          <w:color w:val="000000"/>
          <w:szCs w:val="21"/>
        </w:rPr>
      </w:pPr>
      <w:r>
        <w:rPr>
          <w:rFonts w:hint="eastAsia"/>
          <w:color w:val="000000"/>
          <w:szCs w:val="21"/>
        </w:rPr>
        <w:t>3.SF</w:t>
      </w:r>
      <w:r>
        <w:rPr>
          <w:rFonts w:hint="eastAsia"/>
          <w:color w:val="000000"/>
          <w:szCs w:val="21"/>
          <w:vertAlign w:val="subscript"/>
        </w:rPr>
        <w:t>6</w:t>
      </w:r>
      <w:r>
        <w:rPr>
          <w:rFonts w:hint="eastAsia"/>
          <w:color w:val="000000"/>
          <w:szCs w:val="21"/>
        </w:rPr>
        <w:t>：≤±0.05%</w:t>
      </w:r>
    </w:p>
    <w:p w14:paraId="7891FBA7">
      <w:pPr>
        <w:pStyle w:val="37"/>
        <w:ind w:left="0"/>
        <w:outlineLvl w:val="0"/>
        <w:rPr>
          <w:color w:val="000000"/>
          <w:sz w:val="24"/>
          <w:szCs w:val="24"/>
        </w:rPr>
      </w:pPr>
      <w:bookmarkStart w:id="45" w:name="_Toc11163"/>
      <w:r>
        <w:rPr>
          <w:rFonts w:hint="eastAsia"/>
          <w:color w:val="000000"/>
          <w:sz w:val="24"/>
          <w:szCs w:val="24"/>
        </w:rPr>
        <w:t>缺陷类型</w:t>
      </w:r>
      <w:bookmarkEnd w:id="45"/>
    </w:p>
    <w:p w14:paraId="45C48685">
      <w:pPr>
        <w:pStyle w:val="34"/>
      </w:pPr>
      <w:r>
        <w:rPr>
          <w:rFonts w:hint="eastAsia"/>
        </w:rPr>
        <w:t>自由金属颗粒缺陷</w:t>
      </w:r>
    </w:p>
    <w:p w14:paraId="22FBFCFC">
      <w:pPr>
        <w:pStyle w:val="17"/>
      </w:pPr>
      <w:r>
        <w:rPr>
          <w:rFonts w:hint="eastAsia"/>
          <w:bCs/>
          <w:szCs w:val="21"/>
        </w:rPr>
        <w:t>GIL线路在</w:t>
      </w:r>
      <w:r>
        <w:rPr>
          <w:bCs/>
          <w:szCs w:val="21"/>
        </w:rPr>
        <w:t>制造、装配或</w:t>
      </w:r>
      <w:r>
        <w:rPr>
          <w:rFonts w:hint="eastAsia"/>
          <w:bCs/>
          <w:szCs w:val="21"/>
        </w:rPr>
        <w:t>运行</w:t>
      </w:r>
      <w:r>
        <w:rPr>
          <w:bCs/>
          <w:szCs w:val="21"/>
        </w:rPr>
        <w:t>振动过程中</w:t>
      </w:r>
      <w:r>
        <w:rPr>
          <w:rFonts w:hint="eastAsia"/>
          <w:bCs/>
          <w:szCs w:val="21"/>
        </w:rPr>
        <w:t>产生</w:t>
      </w:r>
      <w:r>
        <w:rPr>
          <w:bCs/>
          <w:szCs w:val="21"/>
        </w:rPr>
        <w:t>的金属屑</w:t>
      </w:r>
      <w:r>
        <w:rPr>
          <w:rFonts w:hint="eastAsia"/>
          <w:bCs/>
          <w:szCs w:val="21"/>
        </w:rPr>
        <w:t>、导电颗粒</w:t>
      </w:r>
      <w:r>
        <w:rPr>
          <w:bCs/>
          <w:szCs w:val="21"/>
        </w:rPr>
        <w:t>等</w:t>
      </w:r>
      <w:r>
        <w:rPr>
          <w:rFonts w:hint="eastAsia"/>
          <w:bCs/>
          <w:szCs w:val="21"/>
        </w:rPr>
        <w:t>。</w:t>
      </w:r>
    </w:p>
    <w:p w14:paraId="13B05041">
      <w:pPr>
        <w:pStyle w:val="34"/>
      </w:pPr>
      <w:r>
        <w:rPr>
          <w:rFonts w:hint="eastAsia"/>
        </w:rPr>
        <w:t>绝缘件气隙缺陷</w:t>
      </w:r>
    </w:p>
    <w:p w14:paraId="385B2AA9">
      <w:pPr>
        <w:ind w:firstLine="420" w:firstLineChars="200"/>
      </w:pPr>
      <w:r>
        <w:rPr>
          <w:rFonts w:hint="eastAsia"/>
          <w:bCs/>
          <w:szCs w:val="21"/>
        </w:rPr>
        <w:t>盆式绝缘子在</w:t>
      </w:r>
      <w:r>
        <w:rPr>
          <w:bCs/>
          <w:szCs w:val="21"/>
        </w:rPr>
        <w:t>环氧树脂浇注</w:t>
      </w:r>
      <w:r>
        <w:rPr>
          <w:rFonts w:hint="eastAsia"/>
          <w:bCs/>
          <w:szCs w:val="21"/>
        </w:rPr>
        <w:t>时产生</w:t>
      </w:r>
      <w:r>
        <w:rPr>
          <w:bCs/>
          <w:szCs w:val="21"/>
        </w:rPr>
        <w:t>气泡</w:t>
      </w:r>
      <w:r>
        <w:rPr>
          <w:rFonts w:hint="eastAsia"/>
          <w:bCs/>
          <w:szCs w:val="21"/>
        </w:rPr>
        <w:t>，形成的气隙缺陷。</w:t>
      </w:r>
    </w:p>
    <w:p w14:paraId="272FEDB6">
      <w:pPr>
        <w:pStyle w:val="34"/>
      </w:pPr>
      <w:r>
        <w:rPr>
          <w:rFonts w:hint="eastAsia"/>
        </w:rPr>
        <w:t>绝缘件沿面缺陷</w:t>
      </w:r>
    </w:p>
    <w:p w14:paraId="097FEBA5">
      <w:pPr>
        <w:pStyle w:val="17"/>
      </w:pPr>
      <w:r>
        <w:rPr>
          <w:bCs/>
          <w:szCs w:val="21"/>
        </w:rPr>
        <w:t>盆式绝缘子表面</w:t>
      </w:r>
      <w:r>
        <w:rPr>
          <w:rFonts w:hint="eastAsia"/>
          <w:bCs/>
          <w:szCs w:val="21"/>
        </w:rPr>
        <w:t>裂纹、</w:t>
      </w:r>
      <w:r>
        <w:rPr>
          <w:bCs/>
          <w:szCs w:val="21"/>
        </w:rPr>
        <w:t>金属颗粒、灰尘</w:t>
      </w:r>
      <w:r>
        <w:rPr>
          <w:rFonts w:hint="eastAsia"/>
          <w:bCs/>
          <w:szCs w:val="21"/>
        </w:rPr>
        <w:t>或</w:t>
      </w:r>
      <w:r>
        <w:rPr>
          <w:bCs/>
          <w:szCs w:val="21"/>
        </w:rPr>
        <w:t>污秽</w:t>
      </w:r>
      <w:r>
        <w:rPr>
          <w:rFonts w:hint="eastAsia"/>
        </w:rPr>
        <w:t>造成的沿面缺陷。</w:t>
      </w:r>
    </w:p>
    <w:p w14:paraId="5CD47BD9">
      <w:pPr>
        <w:pStyle w:val="34"/>
      </w:pPr>
      <w:r>
        <w:rPr>
          <w:rFonts w:hint="eastAsia"/>
        </w:rPr>
        <w:t>金属尖端缺陷</w:t>
      </w:r>
    </w:p>
    <w:p w14:paraId="1B7EE4A5">
      <w:pPr>
        <w:pStyle w:val="17"/>
      </w:pPr>
      <w:r>
        <w:rPr>
          <w:bCs/>
          <w:szCs w:val="21"/>
        </w:rPr>
        <w:t>高压导体或</w:t>
      </w:r>
      <w:r>
        <w:rPr>
          <w:rFonts w:hint="eastAsia"/>
          <w:bCs/>
          <w:szCs w:val="21"/>
        </w:rPr>
        <w:t>接地</w:t>
      </w:r>
      <w:r>
        <w:rPr>
          <w:bCs/>
          <w:szCs w:val="21"/>
        </w:rPr>
        <w:t>外壳</w:t>
      </w:r>
      <w:r>
        <w:rPr>
          <w:rFonts w:hint="eastAsia"/>
          <w:bCs/>
          <w:szCs w:val="21"/>
        </w:rPr>
        <w:t>在</w:t>
      </w:r>
      <w:r>
        <w:rPr>
          <w:bCs/>
          <w:szCs w:val="21"/>
        </w:rPr>
        <w:t>制造、装配</w:t>
      </w:r>
      <w:r>
        <w:rPr>
          <w:rFonts w:hint="eastAsia"/>
          <w:bCs/>
          <w:szCs w:val="21"/>
        </w:rPr>
        <w:t>过程产生的金属</w:t>
      </w:r>
      <w:r>
        <w:rPr>
          <w:bCs/>
          <w:szCs w:val="21"/>
        </w:rPr>
        <w:t>表面毛刺</w:t>
      </w:r>
      <w:r>
        <w:rPr>
          <w:rFonts w:hint="eastAsia"/>
          <w:bCs/>
          <w:szCs w:val="21"/>
        </w:rPr>
        <w:t>或尖锐突起等缺陷。</w:t>
      </w:r>
    </w:p>
    <w:p w14:paraId="792B6D8A">
      <w:pPr>
        <w:pStyle w:val="34"/>
      </w:pPr>
      <w:r>
        <w:rPr>
          <w:rFonts w:hint="eastAsia"/>
        </w:rPr>
        <w:t>悬浮电位缺陷</w:t>
      </w:r>
    </w:p>
    <w:p w14:paraId="5A54973A">
      <w:pPr>
        <w:pStyle w:val="17"/>
      </w:pPr>
      <w:r>
        <w:rPr>
          <w:rFonts w:hint="eastAsia"/>
          <w:bCs/>
          <w:szCs w:val="21"/>
        </w:rPr>
        <w:t>因金属部件</w:t>
      </w:r>
      <w:r>
        <w:rPr>
          <w:bCs/>
          <w:szCs w:val="21"/>
        </w:rPr>
        <w:t>松动、接触不良导致</w:t>
      </w:r>
      <w:r>
        <w:rPr>
          <w:rFonts w:hint="eastAsia"/>
          <w:bCs/>
          <w:szCs w:val="21"/>
        </w:rPr>
        <w:t>的</w:t>
      </w:r>
      <w:r>
        <w:rPr>
          <w:bCs/>
          <w:szCs w:val="21"/>
        </w:rPr>
        <w:t>悬浮电位。</w:t>
      </w:r>
    </w:p>
    <w:p w14:paraId="0EA74328">
      <w:pPr>
        <w:pStyle w:val="34"/>
        <w:rPr>
          <w:rFonts w:ascii="宋体" w:cs="宋体"/>
        </w:rPr>
      </w:pPr>
      <w:r>
        <w:rPr>
          <w:rFonts w:hint="eastAsia" w:ascii="宋体" w:cs="宋体"/>
        </w:rPr>
        <w:t>组合缺陷</w:t>
      </w:r>
    </w:p>
    <w:p w14:paraId="71960DFC">
      <w:pPr>
        <w:pStyle w:val="17"/>
      </w:pPr>
      <w:r>
        <w:rPr>
          <w:rFonts w:hint="eastAsia"/>
        </w:rPr>
        <w:t>同时存在上述两种或两种以上缺陷。</w:t>
      </w:r>
    </w:p>
    <w:p w14:paraId="46E84314">
      <w:pPr>
        <w:pStyle w:val="37"/>
        <w:ind w:left="0"/>
        <w:outlineLvl w:val="0"/>
        <w:rPr>
          <w:color w:val="000000"/>
          <w:sz w:val="24"/>
          <w:szCs w:val="24"/>
        </w:rPr>
      </w:pPr>
      <w:bookmarkStart w:id="46" w:name="_Toc11948"/>
      <w:bookmarkStart w:id="47" w:name="_Toc25595"/>
      <w:r>
        <w:rPr>
          <w:rFonts w:hint="eastAsia"/>
          <w:color w:val="000000"/>
          <w:sz w:val="24"/>
          <w:szCs w:val="24"/>
        </w:rPr>
        <w:t>缺陷状态评估方法</w:t>
      </w:r>
      <w:bookmarkEnd w:id="46"/>
      <w:bookmarkEnd w:id="47"/>
    </w:p>
    <w:p w14:paraId="65361F41">
      <w:pPr>
        <w:pStyle w:val="34"/>
      </w:pPr>
      <w:r>
        <w:rPr>
          <w:rFonts w:hint="eastAsia"/>
        </w:rPr>
        <w:t>缺陷评估流程</w:t>
      </w:r>
    </w:p>
    <w:p w14:paraId="272C573C">
      <w:pPr>
        <w:pStyle w:val="17"/>
      </w:pPr>
      <w:r>
        <w:rPr>
          <w:rFonts w:hint="eastAsia"/>
        </w:rPr>
        <w:t>盆式绝缘子缺陷状态评估应遵循“现场监测初判→复测验证→多方法综合诊断→趋势分析定级”的递进式流程，具体步骤如下：</w:t>
      </w:r>
    </w:p>
    <w:p w14:paraId="3EAB138F">
      <w:pPr>
        <w:pStyle w:val="17"/>
        <w:numPr>
          <w:ilvl w:val="0"/>
          <w:numId w:val="21"/>
        </w:numPr>
        <w:ind w:firstLineChars="0"/>
      </w:pPr>
      <w:r>
        <w:rPr>
          <w:rFonts w:hint="eastAsia"/>
        </w:rPr>
        <w:t>通过内置式或外置式UHF监测装置进行监测，当信号幅值超过背景噪声10dBm或出现典型缺陷PRPD图谱时，触发预警。</w:t>
      </w:r>
    </w:p>
    <w:p w14:paraId="2EADF56C">
      <w:pPr>
        <w:pStyle w:val="17"/>
        <w:numPr>
          <w:ilvl w:val="0"/>
          <w:numId w:val="21"/>
        </w:numPr>
        <w:ind w:firstLineChars="0"/>
      </w:pPr>
      <w:r>
        <w:rPr>
          <w:rFonts w:hint="eastAsia"/>
        </w:rPr>
        <w:t>采用便携式UHF检测仪、超声检测仪进行现场复测，确认缺陷存在并进行缺陷区域判别。</w:t>
      </w:r>
    </w:p>
    <w:p w14:paraId="6F92A043">
      <w:pPr>
        <w:pStyle w:val="17"/>
        <w:numPr>
          <w:ilvl w:val="0"/>
          <w:numId w:val="21"/>
        </w:numPr>
        <w:ind w:firstLineChars="0"/>
      </w:pPr>
      <w:r>
        <w:rPr>
          <w:rFonts w:hint="eastAsia"/>
        </w:rPr>
        <w:t>对疑似缺陷区域可开展X射线成像检测或SF</w:t>
      </w:r>
      <w:r>
        <w:rPr>
          <w:rFonts w:hint="eastAsia"/>
          <w:vertAlign w:val="subscript"/>
        </w:rPr>
        <w:t>6</w:t>
      </w:r>
      <w:r>
        <w:rPr>
          <w:rFonts w:hint="eastAsia"/>
        </w:rPr>
        <w:t>气体取样分析，获取缺陷物理或化学证据。</w:t>
      </w:r>
    </w:p>
    <w:p w14:paraId="6E9315E2">
      <w:pPr>
        <w:pStyle w:val="17"/>
        <w:numPr>
          <w:ilvl w:val="0"/>
          <w:numId w:val="21"/>
        </w:numPr>
        <w:ind w:firstLineChars="0"/>
      </w:pPr>
      <w:r>
        <w:rPr>
          <w:rFonts w:hint="eastAsia"/>
        </w:rPr>
        <w:t>结合各检测方法获取的图谱特征、幅值等数据，识别缺陷类型。</w:t>
      </w:r>
    </w:p>
    <w:p w14:paraId="30039591">
      <w:pPr>
        <w:pStyle w:val="17"/>
        <w:numPr>
          <w:ilvl w:val="0"/>
          <w:numId w:val="21"/>
        </w:numPr>
        <w:ind w:firstLineChars="0"/>
      </w:pPr>
      <w:r>
        <w:rPr>
          <w:rFonts w:hint="eastAsia"/>
        </w:rPr>
        <w:t>统计放电幅值、放电频次、短期变化率（24h）、长期变化率（7天）等量化指标。</w:t>
      </w:r>
    </w:p>
    <w:p w14:paraId="6D07EE58">
      <w:pPr>
        <w:pStyle w:val="17"/>
        <w:numPr>
          <w:ilvl w:val="0"/>
          <w:numId w:val="21"/>
        </w:numPr>
        <w:ind w:firstLineChars="0"/>
      </w:pPr>
      <w:r>
        <w:rPr>
          <w:rFonts w:hint="eastAsia"/>
        </w:rPr>
        <w:t>依据第7章规定的判据，综合主判据（UHF幅值、放电频次）与</w:t>
      </w:r>
      <w:r>
        <w:rPr>
          <w:rFonts w:hint="eastAsia"/>
          <w:szCs w:val="21"/>
        </w:rPr>
        <w:t>PRPD图谱</w:t>
      </w:r>
      <w:r>
        <w:rPr>
          <w:szCs w:val="21"/>
        </w:rPr>
        <w:t>定性判据</w:t>
      </w:r>
      <w:r>
        <w:rPr>
          <w:rFonts w:hint="eastAsia"/>
          <w:szCs w:val="21"/>
        </w:rPr>
        <w:t>（缺陷类别）、</w:t>
      </w:r>
      <w:r>
        <w:rPr>
          <w:rFonts w:hint="eastAsia"/>
        </w:rPr>
        <w:t>辅助判据（超声、X光、气体分解产物）及发展趋势判据等确定缺陷等级。</w:t>
      </w:r>
    </w:p>
    <w:p w14:paraId="0C643A9C">
      <w:pPr>
        <w:pStyle w:val="17"/>
        <w:numPr>
          <w:ilvl w:val="0"/>
          <w:numId w:val="21"/>
        </w:numPr>
        <w:ind w:firstLineChars="0"/>
      </w:pPr>
      <w:r>
        <w:rPr>
          <w:rFonts w:hint="eastAsia"/>
        </w:rPr>
        <w:t>根据缺陷等级提出相应处置建议，制定跟踪监测方案。</w:t>
      </w:r>
    </w:p>
    <w:p w14:paraId="34C6E7A7">
      <w:pPr>
        <w:pStyle w:val="17"/>
        <w:rPr>
          <w:highlight w:val="yellow"/>
        </w:rPr>
      </w:pPr>
    </w:p>
    <w:p w14:paraId="4C3CD85F">
      <w:pPr>
        <w:pStyle w:val="34"/>
      </w:pPr>
      <w:r>
        <w:rPr>
          <w:rFonts w:hint="eastAsia"/>
        </w:rPr>
        <w:t>局部放电特征判识</w:t>
      </w:r>
    </w:p>
    <w:p w14:paraId="74B72E03">
      <w:pPr>
        <w:pStyle w:val="17"/>
      </w:pPr>
      <w:r>
        <w:t>不同缺陷类型的多维度检测特征综合判据见表1。</w:t>
      </w:r>
    </w:p>
    <w:p w14:paraId="1F747C8A">
      <w:pPr>
        <w:pStyle w:val="17"/>
        <w:jc w:val="center"/>
        <w:rPr>
          <w:rFonts w:hint="eastAsia" w:ascii="黑体" w:hAnsi="黑体" w:eastAsia="黑体"/>
        </w:rPr>
      </w:pPr>
      <w:r>
        <w:rPr>
          <w:rFonts w:ascii="黑体" w:hAnsi="黑体" w:eastAsia="黑体"/>
        </w:rPr>
        <w:t>表1 盆式绝缘子典型缺陷多维度检测特征判据</w:t>
      </w:r>
    </w:p>
    <w:tbl>
      <w:tblPr>
        <w:tblStyle w:val="24"/>
        <w:tblW w:w="8866" w:type="dxa"/>
        <w:jc w:val="center"/>
        <w:tblLayout w:type="fixed"/>
        <w:tblCellMar>
          <w:top w:w="0" w:type="dxa"/>
          <w:left w:w="108" w:type="dxa"/>
          <w:bottom w:w="0" w:type="dxa"/>
          <w:right w:w="108" w:type="dxa"/>
        </w:tblCellMar>
      </w:tblPr>
      <w:tblGrid>
        <w:gridCol w:w="1352"/>
        <w:gridCol w:w="3042"/>
        <w:gridCol w:w="2164"/>
        <w:gridCol w:w="2308"/>
      </w:tblGrid>
      <w:tr w14:paraId="096D20AA">
        <w:tblPrEx>
          <w:tblCellMar>
            <w:top w:w="0" w:type="dxa"/>
            <w:left w:w="108" w:type="dxa"/>
            <w:bottom w:w="0" w:type="dxa"/>
            <w:right w:w="108" w:type="dxa"/>
          </w:tblCellMar>
        </w:tblPrEx>
        <w:trPr>
          <w:trHeight w:val="314" w:hRule="atLeast"/>
          <w:jc w:val="center"/>
        </w:trPr>
        <w:tc>
          <w:tcPr>
            <w:tcW w:w="1352" w:type="dxa"/>
            <w:tcBorders>
              <w:top w:val="single" w:color="000000" w:sz="4" w:space="0"/>
              <w:left w:val="single" w:color="000000" w:sz="4" w:space="0"/>
              <w:bottom w:val="single" w:color="000000" w:sz="4" w:space="0"/>
              <w:right w:val="single" w:color="000000" w:sz="4" w:space="0"/>
              <w:tl2br w:val="nil"/>
            </w:tcBorders>
            <w:shd w:val="clear" w:color="auto" w:fill="auto"/>
            <w:noWrap/>
            <w:vAlign w:val="center"/>
          </w:tcPr>
          <w:p w14:paraId="06C6C928">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缺陷类型</w:t>
            </w:r>
          </w:p>
        </w:tc>
        <w:tc>
          <w:tcPr>
            <w:tcW w:w="30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1A1513">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特高频PRPD图谱特征</w:t>
            </w:r>
          </w:p>
        </w:tc>
        <w:tc>
          <w:tcPr>
            <w:tcW w:w="2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93C70">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超声波特征</w:t>
            </w:r>
          </w:p>
        </w:tc>
        <w:tc>
          <w:tcPr>
            <w:tcW w:w="2308" w:type="dxa"/>
            <w:tcBorders>
              <w:top w:val="single" w:color="000000" w:sz="4" w:space="0"/>
              <w:left w:val="single" w:color="000000" w:sz="4" w:space="0"/>
              <w:bottom w:val="single" w:color="000000" w:sz="4" w:space="0"/>
              <w:right w:val="single" w:color="000000" w:sz="4" w:space="0"/>
            </w:tcBorders>
            <w:vAlign w:val="center"/>
          </w:tcPr>
          <w:p w14:paraId="0CD8D649">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X射线典型影像</w:t>
            </w:r>
          </w:p>
        </w:tc>
      </w:tr>
      <w:tr w14:paraId="35D53016">
        <w:tblPrEx>
          <w:tblCellMar>
            <w:top w:w="0" w:type="dxa"/>
            <w:left w:w="108" w:type="dxa"/>
            <w:bottom w:w="0" w:type="dxa"/>
            <w:right w:w="108" w:type="dxa"/>
          </w:tblCellMar>
        </w:tblPrEx>
        <w:trPr>
          <w:trHeight w:val="618" w:hRule="atLeast"/>
          <w:jc w:val="center"/>
        </w:trPr>
        <w:tc>
          <w:tcPr>
            <w:tcW w:w="13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975D2">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自由金属颗粒缺陷</w:t>
            </w:r>
          </w:p>
        </w:tc>
        <w:tc>
          <w:tcPr>
            <w:tcW w:w="30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7E1DE">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随机高幅值脉冲，无明显的相位特征</w:t>
            </w:r>
          </w:p>
        </w:tc>
        <w:tc>
          <w:tcPr>
            <w:tcW w:w="2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61A20">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超声信号强，</w:t>
            </w:r>
            <w:r>
              <w:rPr>
                <w:rFonts w:ascii="宋体" w:hAnsi="宋体" w:cs="宋体"/>
                <w:color w:val="000000"/>
                <w:kern w:val="0"/>
                <w:szCs w:val="21"/>
                <w:lang w:bidi="ar"/>
              </w:rPr>
              <w:t>信号幅值具有随机性</w:t>
            </w:r>
          </w:p>
        </w:tc>
        <w:tc>
          <w:tcPr>
            <w:tcW w:w="2308" w:type="dxa"/>
            <w:tcBorders>
              <w:top w:val="single" w:color="000000" w:sz="4" w:space="0"/>
              <w:left w:val="single" w:color="000000" w:sz="4" w:space="0"/>
              <w:bottom w:val="single" w:color="000000" w:sz="4" w:space="0"/>
              <w:right w:val="single" w:color="000000" w:sz="4" w:space="0"/>
            </w:tcBorders>
            <w:vAlign w:val="center"/>
          </w:tcPr>
          <w:p w14:paraId="59645A68">
            <w:pPr>
              <w:widowControl/>
              <w:jc w:val="center"/>
              <w:textAlignment w:val="center"/>
              <w:rPr>
                <w:rFonts w:hint="eastAsia" w:ascii="宋体" w:hAnsi="宋体" w:cs="宋体"/>
                <w:color w:val="000000"/>
                <w:kern w:val="0"/>
                <w:szCs w:val="21"/>
                <w:lang w:bidi="ar"/>
              </w:rPr>
            </w:pPr>
            <w:r>
              <w:rPr>
                <w:rFonts w:ascii="宋体" w:hAnsi="宋体" w:cs="宋体"/>
                <w:color w:val="000000"/>
                <w:kern w:val="0"/>
                <w:szCs w:val="21"/>
                <w:lang w:bidi="ar"/>
              </w:rPr>
              <w:t>可见游离金属颗粒影像</w:t>
            </w:r>
          </w:p>
        </w:tc>
      </w:tr>
      <w:tr w14:paraId="19ABB396">
        <w:tblPrEx>
          <w:tblCellMar>
            <w:top w:w="0" w:type="dxa"/>
            <w:left w:w="108" w:type="dxa"/>
            <w:bottom w:w="0" w:type="dxa"/>
            <w:right w:w="108" w:type="dxa"/>
          </w:tblCellMar>
        </w:tblPrEx>
        <w:trPr>
          <w:trHeight w:val="923" w:hRule="atLeast"/>
          <w:jc w:val="center"/>
        </w:trPr>
        <w:tc>
          <w:tcPr>
            <w:tcW w:w="13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36E90">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绝缘件沿面缺陷</w:t>
            </w:r>
          </w:p>
        </w:tc>
        <w:tc>
          <w:tcPr>
            <w:tcW w:w="30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EA6DA">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正、负半波均有放电，相位分布较宽，成带状分布，信号幅值较高，存在分层现象</w:t>
            </w:r>
          </w:p>
        </w:tc>
        <w:tc>
          <w:tcPr>
            <w:tcW w:w="2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A655E">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超声信号弱，无明显变化</w:t>
            </w:r>
          </w:p>
        </w:tc>
        <w:tc>
          <w:tcPr>
            <w:tcW w:w="2308" w:type="dxa"/>
            <w:tcBorders>
              <w:top w:val="single" w:color="000000" w:sz="4" w:space="0"/>
              <w:left w:val="single" w:color="000000" w:sz="4" w:space="0"/>
              <w:bottom w:val="single" w:color="000000" w:sz="4" w:space="0"/>
              <w:right w:val="single" w:color="000000" w:sz="4" w:space="0"/>
            </w:tcBorders>
            <w:vAlign w:val="center"/>
          </w:tcPr>
          <w:p w14:paraId="3830AD27">
            <w:pPr>
              <w:widowControl/>
              <w:jc w:val="center"/>
              <w:textAlignment w:val="center"/>
              <w:rPr>
                <w:rFonts w:hint="eastAsia" w:ascii="宋体" w:hAnsi="宋体" w:cs="宋体"/>
                <w:color w:val="000000"/>
                <w:kern w:val="0"/>
                <w:szCs w:val="21"/>
                <w:lang w:bidi="ar"/>
              </w:rPr>
            </w:pPr>
            <w:r>
              <w:rPr>
                <w:rFonts w:ascii="宋体" w:hAnsi="宋体" w:cs="宋体"/>
                <w:color w:val="000000"/>
                <w:kern w:val="0"/>
                <w:szCs w:val="21"/>
                <w:lang w:bidi="ar"/>
              </w:rPr>
              <w:t>金属微粒附着</w:t>
            </w:r>
          </w:p>
        </w:tc>
      </w:tr>
      <w:tr w14:paraId="0047FDB7">
        <w:tblPrEx>
          <w:tblCellMar>
            <w:top w:w="0" w:type="dxa"/>
            <w:left w:w="108" w:type="dxa"/>
            <w:bottom w:w="0" w:type="dxa"/>
            <w:right w:w="108" w:type="dxa"/>
          </w:tblCellMar>
        </w:tblPrEx>
        <w:trPr>
          <w:trHeight w:val="618" w:hRule="atLeast"/>
          <w:jc w:val="center"/>
        </w:trPr>
        <w:tc>
          <w:tcPr>
            <w:tcW w:w="13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BA938">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绝缘件气隙缺陷</w:t>
            </w:r>
          </w:p>
        </w:tc>
        <w:tc>
          <w:tcPr>
            <w:tcW w:w="30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E3D0EB">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在工频正负半周均会出现，具有一定对称性，呈“兔耳朵形状”，放电信号幅值较分散</w:t>
            </w:r>
          </w:p>
        </w:tc>
        <w:tc>
          <w:tcPr>
            <w:tcW w:w="2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851D03">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超声信号弱，无明显变化</w:t>
            </w:r>
          </w:p>
        </w:tc>
        <w:tc>
          <w:tcPr>
            <w:tcW w:w="2308" w:type="dxa"/>
            <w:tcBorders>
              <w:top w:val="single" w:color="000000" w:sz="4" w:space="0"/>
              <w:left w:val="single" w:color="000000" w:sz="4" w:space="0"/>
              <w:bottom w:val="single" w:color="000000" w:sz="4" w:space="0"/>
              <w:right w:val="single" w:color="000000" w:sz="4" w:space="0"/>
            </w:tcBorders>
            <w:vAlign w:val="center"/>
          </w:tcPr>
          <w:p w14:paraId="3CB6D48D">
            <w:pPr>
              <w:widowControl/>
              <w:jc w:val="center"/>
              <w:textAlignment w:val="center"/>
              <w:rPr>
                <w:rFonts w:hint="eastAsia" w:ascii="宋体" w:hAnsi="宋体" w:cs="宋体"/>
                <w:color w:val="000000"/>
                <w:kern w:val="0"/>
                <w:szCs w:val="21"/>
                <w:lang w:bidi="ar"/>
              </w:rPr>
            </w:pPr>
            <w:r>
              <w:rPr>
                <w:rFonts w:ascii="宋体" w:hAnsi="宋体" w:cs="宋体"/>
                <w:color w:val="000000"/>
                <w:kern w:val="0"/>
                <w:szCs w:val="21"/>
                <w:lang w:bidi="ar"/>
              </w:rPr>
              <w:t>可见气泡或分层</w:t>
            </w:r>
          </w:p>
        </w:tc>
      </w:tr>
      <w:tr w14:paraId="03716158">
        <w:tblPrEx>
          <w:tblCellMar>
            <w:top w:w="0" w:type="dxa"/>
            <w:left w:w="108" w:type="dxa"/>
            <w:bottom w:w="0" w:type="dxa"/>
            <w:right w:w="108" w:type="dxa"/>
          </w:tblCellMar>
        </w:tblPrEx>
        <w:trPr>
          <w:trHeight w:val="1226" w:hRule="atLeast"/>
          <w:jc w:val="center"/>
        </w:trPr>
        <w:tc>
          <w:tcPr>
            <w:tcW w:w="13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107AE">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金属尖端缺陷</w:t>
            </w:r>
          </w:p>
        </w:tc>
        <w:tc>
          <w:tcPr>
            <w:tcW w:w="30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B0381A">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放电相位特征明显，在正半周或负半周出现，并且放电形状类似一个圆锥形</w:t>
            </w:r>
          </w:p>
        </w:tc>
        <w:tc>
          <w:tcPr>
            <w:tcW w:w="2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63C63">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超声信号弱，无明显变化</w:t>
            </w:r>
          </w:p>
        </w:tc>
        <w:tc>
          <w:tcPr>
            <w:tcW w:w="2308" w:type="dxa"/>
            <w:tcBorders>
              <w:top w:val="single" w:color="000000" w:sz="4" w:space="0"/>
              <w:left w:val="single" w:color="000000" w:sz="4" w:space="0"/>
              <w:bottom w:val="single" w:color="000000" w:sz="4" w:space="0"/>
              <w:right w:val="single" w:color="000000" w:sz="4" w:space="0"/>
            </w:tcBorders>
            <w:vAlign w:val="center"/>
          </w:tcPr>
          <w:p w14:paraId="4270C093">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可见</w:t>
            </w:r>
            <w:r>
              <w:rPr>
                <w:rFonts w:ascii="宋体" w:hAnsi="宋体" w:cs="宋体"/>
                <w:color w:val="000000"/>
                <w:kern w:val="0"/>
                <w:szCs w:val="21"/>
                <w:lang w:bidi="ar"/>
              </w:rPr>
              <w:t>导体/外壳表面毛刺或加工缺陷</w:t>
            </w:r>
          </w:p>
        </w:tc>
      </w:tr>
      <w:tr w14:paraId="00768819">
        <w:tblPrEx>
          <w:tblCellMar>
            <w:top w:w="0" w:type="dxa"/>
            <w:left w:w="108" w:type="dxa"/>
            <w:bottom w:w="0" w:type="dxa"/>
            <w:right w:w="108" w:type="dxa"/>
          </w:tblCellMar>
        </w:tblPrEx>
        <w:trPr>
          <w:trHeight w:val="1236" w:hRule="atLeast"/>
          <w:jc w:val="center"/>
        </w:trPr>
        <w:tc>
          <w:tcPr>
            <w:tcW w:w="13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6B3FF">
            <w:pPr>
              <w:widowControl/>
              <w:jc w:val="center"/>
              <w:textAlignment w:val="center"/>
              <w:rPr>
                <w:rFonts w:hint="eastAsia" w:ascii="宋体" w:hAnsi="宋体" w:cs="宋体"/>
                <w:color w:val="000000"/>
                <w:szCs w:val="21"/>
              </w:rPr>
            </w:pPr>
            <w:r>
              <w:rPr>
                <w:rFonts w:hint="eastAsia" w:ascii="宋体" w:hAnsi="宋体" w:cs="宋体"/>
                <w:color w:val="000000"/>
                <w:szCs w:val="21"/>
              </w:rPr>
              <w:t>悬浮电位</w:t>
            </w:r>
            <w:r>
              <w:rPr>
                <w:rFonts w:hint="eastAsia" w:ascii="宋体" w:hAnsi="宋体" w:cs="宋体"/>
                <w:color w:val="000000"/>
                <w:kern w:val="0"/>
                <w:szCs w:val="21"/>
                <w:lang w:bidi="ar"/>
              </w:rPr>
              <w:t>缺陷</w:t>
            </w:r>
          </w:p>
        </w:tc>
        <w:tc>
          <w:tcPr>
            <w:tcW w:w="30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14772">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正、负半波均有放电，放电相位特征明显，</w:t>
            </w:r>
            <w:r>
              <w:rPr>
                <w:bCs/>
                <w:szCs w:val="21"/>
              </w:rPr>
              <w:t>集中在90°和270°相位附近</w:t>
            </w:r>
            <w:r>
              <w:rPr>
                <w:rFonts w:hint="eastAsia"/>
                <w:bCs/>
                <w:szCs w:val="21"/>
              </w:rPr>
              <w:t>，</w:t>
            </w:r>
            <w:r>
              <w:rPr>
                <w:rFonts w:hint="eastAsia" w:ascii="宋体" w:hAnsi="宋体" w:cs="宋体"/>
                <w:color w:val="000000"/>
                <w:kern w:val="0"/>
                <w:szCs w:val="21"/>
                <w:lang w:bidi="ar"/>
              </w:rPr>
              <w:t>放电信号大部分悬浮在一定的幅值上</w:t>
            </w:r>
          </w:p>
        </w:tc>
        <w:tc>
          <w:tcPr>
            <w:tcW w:w="2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CCACE">
            <w:pPr>
              <w:widowControl/>
              <w:jc w:val="center"/>
              <w:textAlignment w:val="center"/>
              <w:rPr>
                <w:rFonts w:hint="eastAsia" w:ascii="宋体" w:hAnsi="宋体" w:cs="宋体"/>
                <w:color w:val="000000"/>
                <w:szCs w:val="21"/>
              </w:rPr>
            </w:pPr>
            <w:r>
              <w:rPr>
                <w:rFonts w:hint="eastAsia" w:ascii="宋体" w:hAnsi="宋体" w:cs="宋体"/>
                <w:color w:val="000000"/>
                <w:kern w:val="0"/>
                <w:szCs w:val="21"/>
                <w:lang w:bidi="ar"/>
              </w:rPr>
              <w:t>超声信号弱，无明显变化</w:t>
            </w:r>
          </w:p>
        </w:tc>
        <w:tc>
          <w:tcPr>
            <w:tcW w:w="2308" w:type="dxa"/>
            <w:tcBorders>
              <w:top w:val="single" w:color="000000" w:sz="4" w:space="0"/>
              <w:left w:val="single" w:color="000000" w:sz="4" w:space="0"/>
              <w:bottom w:val="single" w:color="000000" w:sz="4" w:space="0"/>
              <w:right w:val="single" w:color="000000" w:sz="4" w:space="0"/>
            </w:tcBorders>
            <w:vAlign w:val="center"/>
          </w:tcPr>
          <w:p w14:paraId="426EC052">
            <w:pPr>
              <w:widowControl/>
              <w:jc w:val="center"/>
              <w:textAlignment w:val="center"/>
              <w:rPr>
                <w:rFonts w:hint="eastAsia" w:ascii="宋体" w:hAnsi="宋体" w:cs="宋体"/>
                <w:color w:val="000000"/>
                <w:kern w:val="0"/>
                <w:szCs w:val="21"/>
                <w:lang w:bidi="ar"/>
              </w:rPr>
            </w:pPr>
            <w:r>
              <w:rPr>
                <w:rFonts w:ascii="宋体" w:hAnsi="宋体" w:cs="宋体"/>
                <w:color w:val="000000"/>
                <w:kern w:val="0"/>
                <w:szCs w:val="21"/>
                <w:lang w:bidi="ar"/>
              </w:rPr>
              <w:t>可见螺栓松动或屏蔽罩移位</w:t>
            </w:r>
          </w:p>
        </w:tc>
      </w:tr>
    </w:tbl>
    <w:p w14:paraId="3EF57CB2"/>
    <w:p w14:paraId="2A51C5D4">
      <w:pPr>
        <w:pStyle w:val="17"/>
      </w:pPr>
      <w:r>
        <w:rPr>
          <w:rFonts w:hint="eastAsia"/>
        </w:rPr>
        <w:t>根据气体分解产物无法直接判别缺陷类型，但表明SF</w:t>
      </w:r>
      <w:r>
        <w:rPr>
          <w:rFonts w:hint="eastAsia"/>
          <w:vertAlign w:val="subscript"/>
        </w:rPr>
        <w:t>6</w:t>
      </w:r>
      <w:r>
        <w:rPr>
          <w:rFonts w:hint="eastAsia"/>
        </w:rPr>
        <w:t>已发生</w:t>
      </w:r>
      <w:r>
        <w:t>局部放电、电晕、过热或绝缘劣化</w:t>
      </w:r>
      <w:r>
        <w:rPr>
          <w:rFonts w:hint="eastAsia"/>
        </w:rPr>
        <w:t>，在7.1节中将根据不同气体分解产物及浓度划分缺陷严重等级。</w:t>
      </w:r>
    </w:p>
    <w:p w14:paraId="0E554056">
      <w:pPr>
        <w:pStyle w:val="17"/>
      </w:pPr>
      <w:r>
        <w:t>附录B提供了各缺陷类型的实验室模拟放电图谱标准样本库，现场检测时应进行图谱比对识别。附录B提供了各缺陷类型的实验室模拟</w:t>
      </w:r>
      <w:r>
        <w:rPr>
          <w:rFonts w:hint="eastAsia"/>
        </w:rPr>
        <w:t>X光检测结果,可作为现场X光检测参考。</w:t>
      </w:r>
    </w:p>
    <w:p w14:paraId="65B56A99">
      <w:pPr>
        <w:pStyle w:val="34"/>
      </w:pPr>
      <w:r>
        <w:rPr>
          <w:rFonts w:hint="eastAsia"/>
        </w:rPr>
        <w:t>量化评估指标体系</w:t>
      </w:r>
    </w:p>
    <w:p w14:paraId="76FEB4FC">
      <w:pPr>
        <w:pStyle w:val="17"/>
      </w:pPr>
      <w:r>
        <w:rPr>
          <w:rFonts w:hint="eastAsia"/>
        </w:rPr>
        <w:t>缺陷状态评估应建立以下量化指标体系：</w:t>
      </w:r>
    </w:p>
    <w:p w14:paraId="37DE18DA">
      <w:pPr>
        <w:pStyle w:val="17"/>
      </w:pPr>
      <w:r>
        <w:t xml:space="preserve">a) </w:t>
      </w:r>
      <w:r>
        <w:rPr>
          <w:rFonts w:hint="eastAsia"/>
        </w:rPr>
        <w:t>放电幅值：取至少连续</w:t>
      </w:r>
      <w:r>
        <w:t>5</w:t>
      </w:r>
      <w:r>
        <w:rPr>
          <w:rFonts w:hint="eastAsia"/>
        </w:rPr>
        <w:t>个工频周期内最大放电脉冲幅值均值作为评估值，记为P；</w:t>
      </w:r>
    </w:p>
    <w:p w14:paraId="7CDD6338">
      <w:pPr>
        <w:pStyle w:val="17"/>
      </w:pPr>
      <w:r>
        <w:rPr>
          <w:rFonts w:hint="eastAsia"/>
        </w:rPr>
        <w:t>b) 放电频次：单位时间内放电脉冲数，记为N（次/小时）；</w:t>
      </w:r>
    </w:p>
    <w:p w14:paraId="1D66F2EF">
      <w:pPr>
        <w:pStyle w:val="17"/>
      </w:pPr>
      <w:r>
        <w:t xml:space="preserve">c) </w:t>
      </w:r>
      <w:r>
        <w:rPr>
          <w:rFonts w:hint="eastAsia"/>
        </w:rPr>
        <w:t>短期变化率：</w:t>
      </w:r>
      <w:r>
        <w:t>24</w:t>
      </w:r>
      <w:r>
        <w:rPr>
          <w:rFonts w:hint="eastAsia"/>
        </w:rPr>
        <w:t>小时内放电幅值变化量，ΔP</w:t>
      </w:r>
      <w:r>
        <w:rPr>
          <w:rFonts w:hint="eastAsia"/>
          <w:vertAlign w:val="subscript"/>
        </w:rPr>
        <w:t>24</w:t>
      </w:r>
      <w:r>
        <w:rPr>
          <w:vertAlign w:val="subscript"/>
        </w:rPr>
        <w:t>h</w:t>
      </w:r>
      <w:r>
        <w:t xml:space="preserve"> = </w:t>
      </w:r>
      <w:r>
        <w:rPr>
          <w:rFonts w:hint="eastAsia"/>
        </w:rPr>
        <w:t>P</w:t>
      </w:r>
      <w:r>
        <w:t xml:space="preserve">(t) - </w:t>
      </w:r>
      <w:r>
        <w:rPr>
          <w:rFonts w:hint="eastAsia"/>
        </w:rPr>
        <w:t>P</w:t>
      </w:r>
      <w:r>
        <w:t>(t-24h)</w:t>
      </w:r>
      <w:r>
        <w:rPr>
          <w:rFonts w:hint="eastAsia"/>
        </w:rPr>
        <w:t>；</w:t>
      </w:r>
    </w:p>
    <w:p w14:paraId="0F4885AA">
      <w:pPr>
        <w:pStyle w:val="17"/>
      </w:pPr>
      <w:r>
        <w:t xml:space="preserve">d) </w:t>
      </w:r>
      <w:r>
        <w:rPr>
          <w:rFonts w:hint="eastAsia"/>
        </w:rPr>
        <w:t>长期变化率：</w:t>
      </w:r>
      <w:r>
        <w:t>7</w:t>
      </w:r>
      <w:r>
        <w:rPr>
          <w:rFonts w:hint="eastAsia"/>
        </w:rPr>
        <w:t>天内放电幅值变化量，ΔP</w:t>
      </w:r>
      <w:r>
        <w:rPr>
          <w:rFonts w:hint="eastAsia"/>
          <w:vertAlign w:val="subscript"/>
        </w:rPr>
        <w:t>7d</w:t>
      </w:r>
      <w:r>
        <w:t xml:space="preserve"> = </w:t>
      </w:r>
      <w:r>
        <w:rPr>
          <w:rFonts w:hint="eastAsia"/>
        </w:rPr>
        <w:t>P</w:t>
      </w:r>
      <w:r>
        <w:t xml:space="preserve">(t) - </w:t>
      </w:r>
      <w:r>
        <w:rPr>
          <w:rFonts w:hint="eastAsia"/>
        </w:rPr>
        <w:t>P</w:t>
      </w:r>
      <w:r>
        <w:t>(t-7d)</w:t>
      </w:r>
      <w:r>
        <w:rPr>
          <w:rFonts w:hint="eastAsia"/>
        </w:rPr>
        <w:t>；</w:t>
      </w:r>
    </w:p>
    <w:p w14:paraId="6467EF2D">
      <w:pPr>
        <w:pStyle w:val="37"/>
        <w:ind w:left="0"/>
        <w:outlineLvl w:val="0"/>
        <w:rPr>
          <w:color w:val="000000"/>
          <w:sz w:val="24"/>
          <w:szCs w:val="24"/>
        </w:rPr>
      </w:pPr>
      <w:bookmarkStart w:id="48" w:name="_Toc24884"/>
      <w:r>
        <w:rPr>
          <w:rFonts w:hint="eastAsia"/>
          <w:color w:val="000000"/>
          <w:sz w:val="24"/>
          <w:szCs w:val="24"/>
        </w:rPr>
        <w:t>缺陷等级划分与处置建议</w:t>
      </w:r>
      <w:bookmarkEnd w:id="48"/>
    </w:p>
    <w:p w14:paraId="340D5B8C">
      <w:pPr>
        <w:pStyle w:val="17"/>
      </w:pPr>
      <w:r>
        <w:rPr>
          <w:rFonts w:hint="eastAsia"/>
        </w:rPr>
        <w:t>缺陷风险等级的划分应采用定量指标（UHF幅值）为主要判据，结合定性特征（PRPD图谱、气体成分、X光影像）为辅助判据，并考量发展趋势确定最终风险等级。</w:t>
      </w:r>
    </w:p>
    <w:p w14:paraId="0709BDFA">
      <w:pPr>
        <w:pStyle w:val="34"/>
        <w:rPr>
          <w:color w:val="000000"/>
          <w:sz w:val="24"/>
          <w:szCs w:val="24"/>
        </w:rPr>
      </w:pPr>
      <w:r>
        <w:rPr>
          <w:rFonts w:hint="eastAsia"/>
          <w:color w:val="000000"/>
          <w:sz w:val="24"/>
          <w:szCs w:val="24"/>
        </w:rPr>
        <w:t>缺陷等级划分原则</w:t>
      </w:r>
    </w:p>
    <w:p w14:paraId="7055E050">
      <w:pPr>
        <w:pStyle w:val="17"/>
      </w:pPr>
      <w:r>
        <w:t>GIL盆式绝缘子缺陷等级划分为一般缺陷、重大缺陷和紧急缺陷</w:t>
      </w:r>
      <w:r>
        <w:rPr>
          <w:rFonts w:hint="eastAsia"/>
        </w:rPr>
        <w:t>三种，</w:t>
      </w:r>
      <w:r>
        <w:t>采用</w:t>
      </w:r>
      <w:r>
        <w:rPr>
          <w:rFonts w:hint="eastAsia"/>
        </w:rPr>
        <w:t>“</w:t>
      </w:r>
      <w:r>
        <w:t>主判据+</w:t>
      </w:r>
      <w:r>
        <w:rPr>
          <w:rFonts w:hint="eastAsia"/>
          <w:szCs w:val="21"/>
        </w:rPr>
        <w:t>PRPD图谱</w:t>
      </w:r>
      <w:r>
        <w:rPr>
          <w:szCs w:val="21"/>
        </w:rPr>
        <w:t>定性判据</w:t>
      </w:r>
      <w:r>
        <w:rPr>
          <w:rFonts w:hint="eastAsia"/>
          <w:szCs w:val="21"/>
        </w:rPr>
        <w:t>+</w:t>
      </w:r>
      <w:r>
        <w:t>辅助判据+趋势</w:t>
      </w:r>
      <w:r>
        <w:rPr>
          <w:rFonts w:hint="eastAsia"/>
        </w:rPr>
        <w:t>判据”</w:t>
      </w:r>
      <w:r>
        <w:t>的综合判定模式</w:t>
      </w:r>
      <w:r>
        <w:rPr>
          <w:rFonts w:hint="eastAsia"/>
        </w:rPr>
        <w:t>，各推荐判据内容见表2</w:t>
      </w:r>
      <w:r>
        <w:t>。主判据为UHF检测量化指标，辅助判据包括超声、X射线、气体检测结果</w:t>
      </w:r>
      <w:r>
        <w:rPr>
          <w:rFonts w:hint="eastAsia"/>
        </w:rPr>
        <w:t>，若任一辅助判据超出阈值，缺陷等级上调。</w:t>
      </w:r>
    </w:p>
    <w:p w14:paraId="2BB01EBC">
      <w:pPr>
        <w:pStyle w:val="17"/>
        <w:jc w:val="center"/>
        <w:rPr>
          <w:rFonts w:hint="eastAsia" w:ascii="黑体" w:hAnsi="黑体" w:eastAsia="黑体"/>
        </w:rPr>
      </w:pPr>
      <w:r>
        <w:rPr>
          <w:rFonts w:ascii="黑体" w:hAnsi="黑体" w:eastAsia="黑体"/>
        </w:rPr>
        <w:t>表</w:t>
      </w:r>
      <w:r>
        <w:rPr>
          <w:rFonts w:hint="eastAsia" w:ascii="黑体" w:hAnsi="黑体" w:eastAsia="黑体"/>
        </w:rPr>
        <w:t>2</w:t>
      </w:r>
      <w:r>
        <w:rPr>
          <w:rFonts w:ascii="黑体" w:hAnsi="黑体" w:eastAsia="黑体"/>
        </w:rPr>
        <w:t xml:space="preserve"> 盆式绝缘子</w:t>
      </w:r>
      <w:r>
        <w:rPr>
          <w:rFonts w:hint="eastAsia" w:ascii="黑体" w:hAnsi="黑体" w:eastAsia="黑体"/>
        </w:rPr>
        <w:t>缺陷等级综合</w:t>
      </w:r>
      <w:r>
        <w:rPr>
          <w:rFonts w:ascii="黑体" w:hAnsi="黑体" w:eastAsia="黑体"/>
        </w:rPr>
        <w:t>判据</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9"/>
        <w:gridCol w:w="1701"/>
        <w:gridCol w:w="2552"/>
        <w:gridCol w:w="1968"/>
        <w:gridCol w:w="1995"/>
      </w:tblGrid>
      <w:tr w14:paraId="4F2F6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1129" w:type="dxa"/>
            <w:vAlign w:val="center"/>
          </w:tcPr>
          <w:p w14:paraId="3365DEA8">
            <w:pPr>
              <w:pStyle w:val="17"/>
              <w:ind w:firstLine="0" w:firstLineChars="0"/>
              <w:jc w:val="center"/>
              <w:rPr>
                <w:szCs w:val="21"/>
              </w:rPr>
            </w:pPr>
            <w:r>
              <w:rPr>
                <w:rFonts w:hint="eastAsia"/>
                <w:szCs w:val="21"/>
              </w:rPr>
              <w:t>缺陷等级</w:t>
            </w:r>
          </w:p>
        </w:tc>
        <w:tc>
          <w:tcPr>
            <w:tcW w:w="1701" w:type="dxa"/>
            <w:vAlign w:val="center"/>
          </w:tcPr>
          <w:p w14:paraId="34E44309">
            <w:pPr>
              <w:pStyle w:val="17"/>
              <w:ind w:firstLine="0" w:firstLineChars="0"/>
              <w:jc w:val="center"/>
              <w:rPr>
                <w:szCs w:val="21"/>
              </w:rPr>
            </w:pPr>
            <w:r>
              <w:rPr>
                <w:rFonts w:hint="eastAsia"/>
                <w:szCs w:val="21"/>
              </w:rPr>
              <w:t>主判据</w:t>
            </w:r>
          </w:p>
        </w:tc>
        <w:tc>
          <w:tcPr>
            <w:tcW w:w="2552" w:type="dxa"/>
            <w:vAlign w:val="center"/>
          </w:tcPr>
          <w:p w14:paraId="21C7F10E">
            <w:pPr>
              <w:pStyle w:val="17"/>
              <w:ind w:firstLine="0" w:firstLineChars="0"/>
              <w:jc w:val="center"/>
              <w:rPr>
                <w:szCs w:val="21"/>
              </w:rPr>
            </w:pPr>
            <w:r>
              <w:rPr>
                <w:rFonts w:hint="eastAsia"/>
                <w:szCs w:val="21"/>
              </w:rPr>
              <w:t>PRPD图谱</w:t>
            </w:r>
            <w:r>
              <w:rPr>
                <w:szCs w:val="21"/>
              </w:rPr>
              <w:t>定性判据</w:t>
            </w:r>
          </w:p>
        </w:tc>
        <w:tc>
          <w:tcPr>
            <w:tcW w:w="1968" w:type="dxa"/>
            <w:vAlign w:val="center"/>
          </w:tcPr>
          <w:p w14:paraId="7DC4BC05">
            <w:pPr>
              <w:pStyle w:val="17"/>
              <w:ind w:firstLine="0" w:firstLineChars="0"/>
              <w:jc w:val="center"/>
              <w:rPr>
                <w:szCs w:val="21"/>
              </w:rPr>
            </w:pPr>
            <w:r>
              <w:rPr>
                <w:rFonts w:hint="eastAsia"/>
                <w:szCs w:val="21"/>
              </w:rPr>
              <w:t>辅助</w:t>
            </w:r>
            <w:r>
              <w:rPr>
                <w:szCs w:val="21"/>
              </w:rPr>
              <w:t>判据</w:t>
            </w:r>
          </w:p>
        </w:tc>
        <w:tc>
          <w:tcPr>
            <w:tcW w:w="1995" w:type="dxa"/>
            <w:vAlign w:val="center"/>
          </w:tcPr>
          <w:p w14:paraId="4107F169">
            <w:pPr>
              <w:pStyle w:val="17"/>
              <w:ind w:firstLine="0" w:firstLineChars="0"/>
              <w:jc w:val="center"/>
              <w:rPr>
                <w:szCs w:val="21"/>
              </w:rPr>
            </w:pPr>
            <w:r>
              <w:rPr>
                <w:rFonts w:hint="eastAsia"/>
                <w:szCs w:val="21"/>
              </w:rPr>
              <w:t>趋势判据</w:t>
            </w:r>
          </w:p>
        </w:tc>
      </w:tr>
      <w:tr w14:paraId="23115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1129" w:type="dxa"/>
            <w:vAlign w:val="center"/>
          </w:tcPr>
          <w:p w14:paraId="213269AC">
            <w:pPr>
              <w:pStyle w:val="17"/>
              <w:ind w:firstLine="0" w:firstLineChars="0"/>
              <w:jc w:val="center"/>
              <w:rPr>
                <w:szCs w:val="21"/>
              </w:rPr>
            </w:pPr>
            <w:r>
              <w:rPr>
                <w:rFonts w:hint="eastAsia"/>
                <w:szCs w:val="21"/>
              </w:rPr>
              <w:t>一般</w:t>
            </w:r>
          </w:p>
        </w:tc>
        <w:tc>
          <w:tcPr>
            <w:tcW w:w="1701" w:type="dxa"/>
            <w:vAlign w:val="center"/>
          </w:tcPr>
          <w:p w14:paraId="3AC87CFB">
            <w:pPr>
              <w:pStyle w:val="17"/>
              <w:ind w:firstLine="0" w:firstLineChars="0"/>
              <w:jc w:val="center"/>
              <w:rPr>
                <w:szCs w:val="21"/>
              </w:rPr>
            </w:pPr>
            <w:r>
              <w:rPr>
                <w:rFonts w:hint="eastAsia"/>
                <w:szCs w:val="21"/>
              </w:rPr>
              <w:t>UHF放电幅值&lt;-60dBm</w:t>
            </w:r>
          </w:p>
        </w:tc>
        <w:tc>
          <w:tcPr>
            <w:tcW w:w="2552" w:type="dxa"/>
            <w:vAlign w:val="center"/>
          </w:tcPr>
          <w:p w14:paraId="1906CAA6">
            <w:pPr>
              <w:pStyle w:val="17"/>
              <w:ind w:firstLine="0" w:firstLineChars="0"/>
              <w:jc w:val="center"/>
              <w:rPr>
                <w:szCs w:val="21"/>
              </w:rPr>
            </w:pPr>
            <w:r>
              <w:rPr>
                <w:rFonts w:hint="eastAsia"/>
                <w:szCs w:val="21"/>
              </w:rPr>
              <w:t>图谱特征为绝缘件气隙缺陷或背景噪声特征，局部放电量稳定</w:t>
            </w:r>
          </w:p>
        </w:tc>
        <w:tc>
          <w:tcPr>
            <w:tcW w:w="1968" w:type="dxa"/>
            <w:vAlign w:val="center"/>
          </w:tcPr>
          <w:p w14:paraId="43A35974">
            <w:pPr>
              <w:pStyle w:val="17"/>
              <w:ind w:firstLine="0" w:firstLineChars="0"/>
              <w:rPr>
                <w:szCs w:val="21"/>
              </w:rPr>
            </w:pPr>
            <w:r>
              <w:rPr>
                <w:rFonts w:hint="eastAsia"/>
                <w:szCs w:val="21"/>
              </w:rPr>
              <w:t>1.</w:t>
            </w:r>
            <w:r>
              <w:rPr>
                <w:szCs w:val="21"/>
              </w:rPr>
              <w:t>超声信号</w:t>
            </w:r>
            <w:r>
              <w:rPr>
                <w:rFonts w:hint="eastAsia"/>
                <w:szCs w:val="21"/>
              </w:rPr>
              <w:t>大于背景噪声不超过3mV</w:t>
            </w:r>
          </w:p>
          <w:p w14:paraId="4643E0D8">
            <w:pPr>
              <w:pStyle w:val="17"/>
              <w:ind w:firstLine="0" w:firstLineChars="0"/>
              <w:rPr>
                <w:szCs w:val="21"/>
              </w:rPr>
            </w:pPr>
            <w:r>
              <w:rPr>
                <w:rFonts w:hint="eastAsia"/>
                <w:szCs w:val="21"/>
              </w:rPr>
              <w:t>2.SO2浓度&lt;=1</w:t>
            </w:r>
            <w:r>
              <w:rPr>
                <w:szCs w:val="21"/>
              </w:rPr>
              <w:t>μL/L</w:t>
            </w:r>
            <w:r>
              <w:rPr>
                <w:rFonts w:hint="eastAsia"/>
                <w:szCs w:val="21"/>
              </w:rPr>
              <w:t>，H2S浓度&lt;=0.5</w:t>
            </w:r>
            <w:r>
              <w:rPr>
                <w:szCs w:val="21"/>
              </w:rPr>
              <w:t>μL/L</w:t>
            </w:r>
            <w:r>
              <w:rPr>
                <w:rFonts w:hint="eastAsia"/>
                <w:szCs w:val="21"/>
              </w:rPr>
              <w:t>，CO浓度&lt;=10</w:t>
            </w:r>
            <w:r>
              <w:rPr>
                <w:szCs w:val="21"/>
              </w:rPr>
              <w:t>μL/L</w:t>
            </w:r>
          </w:p>
          <w:p w14:paraId="36A309F0">
            <w:pPr>
              <w:pStyle w:val="17"/>
              <w:ind w:firstLine="0" w:firstLineChars="0"/>
              <w:rPr>
                <w:szCs w:val="21"/>
              </w:rPr>
            </w:pPr>
            <w:r>
              <w:rPr>
                <w:rFonts w:hint="eastAsia"/>
                <w:szCs w:val="21"/>
              </w:rPr>
              <w:t>3.X射线未见明显异常</w:t>
            </w:r>
          </w:p>
        </w:tc>
        <w:tc>
          <w:tcPr>
            <w:tcW w:w="1995" w:type="dxa"/>
            <w:vAlign w:val="center"/>
          </w:tcPr>
          <w:p w14:paraId="28AE69E2">
            <w:pPr>
              <w:pStyle w:val="17"/>
              <w:ind w:firstLine="0" w:firstLineChars="0"/>
              <w:jc w:val="center"/>
              <w:rPr>
                <w:szCs w:val="21"/>
              </w:rPr>
            </w:pPr>
            <w:r>
              <w:rPr>
                <w:rFonts w:hint="eastAsia"/>
                <w:szCs w:val="21"/>
              </w:rPr>
              <w:t>短期</w:t>
            </w:r>
            <w:r>
              <w:rPr>
                <w:rFonts w:hint="eastAsia"/>
                <w:szCs w:val="18"/>
              </w:rPr>
              <w:t>ΔP</w:t>
            </w:r>
            <w:r>
              <w:rPr>
                <w:rFonts w:hint="eastAsia"/>
                <w:szCs w:val="18"/>
                <w:vertAlign w:val="subscript"/>
              </w:rPr>
              <w:t>24</w:t>
            </w:r>
            <w:r>
              <w:rPr>
                <w:szCs w:val="18"/>
                <w:vertAlign w:val="subscript"/>
              </w:rPr>
              <w:t>h</w:t>
            </w:r>
            <w:r>
              <w:rPr>
                <w:rFonts w:hint="eastAsia"/>
                <w:szCs w:val="18"/>
              </w:rPr>
              <w:t>≤3dBm</w:t>
            </w:r>
            <w:r>
              <w:rPr>
                <w:rFonts w:hint="eastAsia"/>
                <w:szCs w:val="21"/>
              </w:rPr>
              <w:t>且长期稳定</w:t>
            </w:r>
          </w:p>
        </w:tc>
      </w:tr>
      <w:tr w14:paraId="52D29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1129" w:type="dxa"/>
            <w:vAlign w:val="center"/>
          </w:tcPr>
          <w:p w14:paraId="0B3460E9">
            <w:pPr>
              <w:pStyle w:val="17"/>
              <w:ind w:firstLine="0" w:firstLineChars="0"/>
              <w:jc w:val="center"/>
              <w:rPr>
                <w:szCs w:val="21"/>
              </w:rPr>
            </w:pPr>
            <w:r>
              <w:rPr>
                <w:rFonts w:hint="eastAsia"/>
                <w:szCs w:val="21"/>
              </w:rPr>
              <w:t>重大</w:t>
            </w:r>
          </w:p>
        </w:tc>
        <w:tc>
          <w:tcPr>
            <w:tcW w:w="1701" w:type="dxa"/>
            <w:vAlign w:val="center"/>
          </w:tcPr>
          <w:p w14:paraId="392EC11B">
            <w:pPr>
              <w:pStyle w:val="17"/>
              <w:ind w:firstLine="0" w:firstLineChars="0"/>
              <w:rPr>
                <w:szCs w:val="21"/>
              </w:rPr>
            </w:pPr>
            <w:r>
              <w:rPr>
                <w:rFonts w:hint="eastAsia"/>
                <w:szCs w:val="21"/>
              </w:rPr>
              <w:t xml:space="preserve">-60dBm≤UHF放电幅值≤-45dBm </w:t>
            </w:r>
          </w:p>
        </w:tc>
        <w:tc>
          <w:tcPr>
            <w:tcW w:w="2552" w:type="dxa"/>
            <w:vAlign w:val="center"/>
          </w:tcPr>
          <w:p w14:paraId="6A85DADF">
            <w:pPr>
              <w:pStyle w:val="17"/>
              <w:ind w:firstLine="0" w:firstLineChars="0"/>
              <w:jc w:val="center"/>
              <w:rPr>
                <w:szCs w:val="21"/>
              </w:rPr>
            </w:pPr>
            <w:r>
              <w:rPr>
                <w:rFonts w:hint="eastAsia"/>
                <w:szCs w:val="21"/>
              </w:rPr>
              <w:t>图谱特征为绝缘件沿面缺陷、金属尖端缺陷或悬浮电位缺陷</w:t>
            </w:r>
          </w:p>
        </w:tc>
        <w:tc>
          <w:tcPr>
            <w:tcW w:w="1968" w:type="dxa"/>
            <w:vAlign w:val="center"/>
          </w:tcPr>
          <w:p w14:paraId="0EBACD53">
            <w:pPr>
              <w:pStyle w:val="17"/>
              <w:ind w:firstLine="0" w:firstLineChars="0"/>
              <w:rPr>
                <w:szCs w:val="21"/>
              </w:rPr>
            </w:pPr>
            <w:r>
              <w:rPr>
                <w:rFonts w:hint="eastAsia"/>
                <w:szCs w:val="21"/>
              </w:rPr>
              <w:t>1.检出超声信号大于背景3mV</w:t>
            </w:r>
          </w:p>
          <w:p w14:paraId="3B681370">
            <w:pPr>
              <w:pStyle w:val="17"/>
              <w:ind w:firstLine="0" w:firstLineChars="0"/>
              <w:rPr>
                <w:szCs w:val="21"/>
              </w:rPr>
            </w:pPr>
            <w:r>
              <w:rPr>
                <w:rFonts w:hint="eastAsia"/>
                <w:szCs w:val="21"/>
              </w:rPr>
              <w:t>2.1</w:t>
            </w:r>
            <w:r>
              <w:rPr>
                <w:szCs w:val="21"/>
              </w:rPr>
              <w:t>μL/L</w:t>
            </w:r>
            <w:r>
              <w:rPr>
                <w:rFonts w:hint="eastAsia"/>
                <w:szCs w:val="21"/>
              </w:rPr>
              <w:t>&lt;</w:t>
            </w:r>
            <w:r>
              <w:rPr>
                <w:szCs w:val="21"/>
              </w:rPr>
              <w:t>S</w:t>
            </w:r>
            <w:r>
              <w:rPr>
                <w:rFonts w:hint="eastAsia"/>
                <w:szCs w:val="21"/>
              </w:rPr>
              <w:t>O</w:t>
            </w:r>
            <w:r>
              <w:rPr>
                <w:rFonts w:hint="eastAsia"/>
                <w:szCs w:val="21"/>
                <w:vertAlign w:val="subscript"/>
              </w:rPr>
              <w:t>2</w:t>
            </w:r>
            <w:r>
              <w:rPr>
                <w:szCs w:val="21"/>
              </w:rPr>
              <w:t>浓度</w:t>
            </w:r>
            <w:r>
              <w:rPr>
                <w:rFonts w:hint="eastAsia"/>
                <w:szCs w:val="21"/>
              </w:rPr>
              <w:t>&lt;=5</w:t>
            </w:r>
            <w:r>
              <w:rPr>
                <w:szCs w:val="21"/>
              </w:rPr>
              <w:t>μL/L</w:t>
            </w:r>
            <w:r>
              <w:rPr>
                <w:rFonts w:hint="eastAsia"/>
                <w:szCs w:val="21"/>
              </w:rPr>
              <w:t>，0.5</w:t>
            </w:r>
            <w:r>
              <w:rPr>
                <w:szCs w:val="21"/>
              </w:rPr>
              <w:t>μL/L</w:t>
            </w:r>
            <w:r>
              <w:rPr>
                <w:rFonts w:hint="eastAsia"/>
                <w:szCs w:val="21"/>
              </w:rPr>
              <w:t>&lt;H2S浓度&lt;=1</w:t>
            </w:r>
            <w:r>
              <w:rPr>
                <w:szCs w:val="21"/>
              </w:rPr>
              <w:t>μL/L</w:t>
            </w:r>
            <w:r>
              <w:rPr>
                <w:rFonts w:hint="eastAsia"/>
                <w:szCs w:val="21"/>
              </w:rPr>
              <w:t>，10</w:t>
            </w:r>
            <w:r>
              <w:rPr>
                <w:szCs w:val="21"/>
              </w:rPr>
              <w:t>μL/L</w:t>
            </w:r>
            <w:r>
              <w:rPr>
                <w:rFonts w:hint="eastAsia"/>
                <w:szCs w:val="21"/>
              </w:rPr>
              <w:t xml:space="preserve"> &lt;CO浓度&lt;=30</w:t>
            </w:r>
            <w:r>
              <w:rPr>
                <w:szCs w:val="21"/>
              </w:rPr>
              <w:t>μL/L</w:t>
            </w:r>
          </w:p>
          <w:p w14:paraId="4536E953">
            <w:pPr>
              <w:pStyle w:val="17"/>
              <w:ind w:firstLine="0" w:firstLineChars="0"/>
              <w:rPr>
                <w:szCs w:val="21"/>
              </w:rPr>
            </w:pPr>
            <w:r>
              <w:rPr>
                <w:rFonts w:hint="eastAsia"/>
                <w:szCs w:val="21"/>
              </w:rPr>
              <w:t>3.</w:t>
            </w:r>
            <w:r>
              <w:rPr>
                <w:szCs w:val="21"/>
              </w:rPr>
              <w:t>X射线可见疑似缺陷影像</w:t>
            </w:r>
          </w:p>
        </w:tc>
        <w:tc>
          <w:tcPr>
            <w:tcW w:w="1995" w:type="dxa"/>
            <w:vAlign w:val="center"/>
          </w:tcPr>
          <w:p w14:paraId="380531BA">
            <w:pPr>
              <w:pStyle w:val="17"/>
              <w:ind w:firstLine="0" w:firstLineChars="0"/>
              <w:jc w:val="center"/>
              <w:rPr>
                <w:szCs w:val="21"/>
              </w:rPr>
            </w:pPr>
            <w:r>
              <w:rPr>
                <w:rFonts w:hint="eastAsia"/>
                <w:szCs w:val="21"/>
              </w:rPr>
              <w:t>短期</w:t>
            </w:r>
            <w:r>
              <w:rPr>
                <w:rFonts w:hint="eastAsia"/>
                <w:szCs w:val="18"/>
              </w:rPr>
              <w:t>ΔP</w:t>
            </w:r>
            <w:r>
              <w:rPr>
                <w:rFonts w:hint="eastAsia"/>
                <w:szCs w:val="18"/>
                <w:vertAlign w:val="subscript"/>
              </w:rPr>
              <w:t>24</w:t>
            </w:r>
            <w:r>
              <w:rPr>
                <w:szCs w:val="18"/>
                <w:vertAlign w:val="subscript"/>
              </w:rPr>
              <w:t>h</w:t>
            </w:r>
            <w:r>
              <w:rPr>
                <w:rFonts w:hint="eastAsia"/>
                <w:szCs w:val="18"/>
              </w:rPr>
              <w:t>≤5dBm，但</w:t>
            </w:r>
            <w:r>
              <w:rPr>
                <w:rFonts w:hint="eastAsia"/>
                <w:szCs w:val="21"/>
              </w:rPr>
              <w:t>长期</w:t>
            </w:r>
            <w:r>
              <w:rPr>
                <w:rFonts w:hint="eastAsia"/>
                <w:szCs w:val="18"/>
              </w:rPr>
              <w:t>ΔP</w:t>
            </w:r>
            <w:r>
              <w:rPr>
                <w:rFonts w:hint="eastAsia"/>
                <w:szCs w:val="18"/>
                <w:vertAlign w:val="subscript"/>
              </w:rPr>
              <w:t>7d</w:t>
            </w:r>
            <w:r>
              <w:rPr>
                <w:rFonts w:hint="eastAsia"/>
                <w:szCs w:val="21"/>
              </w:rPr>
              <w:t>呈持续上升趋势</w:t>
            </w:r>
          </w:p>
        </w:tc>
      </w:tr>
      <w:tr w14:paraId="03D69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trPr>
        <w:tc>
          <w:tcPr>
            <w:tcW w:w="1129" w:type="dxa"/>
            <w:vAlign w:val="center"/>
          </w:tcPr>
          <w:p w14:paraId="229B324B">
            <w:pPr>
              <w:pStyle w:val="17"/>
              <w:ind w:firstLine="0" w:firstLineChars="0"/>
              <w:jc w:val="center"/>
              <w:rPr>
                <w:szCs w:val="21"/>
              </w:rPr>
            </w:pPr>
            <w:r>
              <w:rPr>
                <w:rFonts w:hint="eastAsia"/>
                <w:szCs w:val="21"/>
              </w:rPr>
              <w:t>紧急</w:t>
            </w:r>
          </w:p>
        </w:tc>
        <w:tc>
          <w:tcPr>
            <w:tcW w:w="1701" w:type="dxa"/>
            <w:vAlign w:val="center"/>
          </w:tcPr>
          <w:p w14:paraId="3D7FEAFC">
            <w:pPr>
              <w:pStyle w:val="17"/>
              <w:ind w:firstLine="0" w:firstLineChars="0"/>
              <w:jc w:val="center"/>
              <w:rPr>
                <w:szCs w:val="21"/>
              </w:rPr>
            </w:pPr>
            <w:r>
              <w:rPr>
                <w:rFonts w:hint="eastAsia"/>
                <w:szCs w:val="21"/>
              </w:rPr>
              <w:t>UHF放电幅值&gt;-45dBm</w:t>
            </w:r>
            <w:r>
              <w:rPr>
                <w:szCs w:val="21"/>
              </w:rPr>
              <w:t xml:space="preserve"> </w:t>
            </w:r>
          </w:p>
        </w:tc>
        <w:tc>
          <w:tcPr>
            <w:tcW w:w="2552" w:type="dxa"/>
            <w:vAlign w:val="center"/>
          </w:tcPr>
          <w:p w14:paraId="23CFB790">
            <w:pPr>
              <w:pStyle w:val="17"/>
              <w:ind w:firstLine="0" w:firstLineChars="0"/>
              <w:jc w:val="center"/>
              <w:rPr>
                <w:szCs w:val="21"/>
              </w:rPr>
            </w:pPr>
            <w:r>
              <w:rPr>
                <w:rFonts w:hint="eastAsia"/>
                <w:szCs w:val="21"/>
              </w:rPr>
              <w:t>图谱特征为绝缘件沿面缺陷、金属尖端缺陷或悬浮电位缺陷、自由金属颗粒缺陷，且图谱放电分布密集</w:t>
            </w:r>
          </w:p>
        </w:tc>
        <w:tc>
          <w:tcPr>
            <w:tcW w:w="1968" w:type="dxa"/>
            <w:vAlign w:val="center"/>
          </w:tcPr>
          <w:p w14:paraId="23BB0E65">
            <w:pPr>
              <w:pStyle w:val="17"/>
              <w:ind w:firstLine="0" w:firstLineChars="0"/>
              <w:rPr>
                <w:szCs w:val="21"/>
              </w:rPr>
            </w:pPr>
            <w:r>
              <w:rPr>
                <w:rFonts w:hint="eastAsia"/>
                <w:szCs w:val="21"/>
              </w:rPr>
              <w:t>1.超声信号大于背景10mV</w:t>
            </w:r>
          </w:p>
          <w:p w14:paraId="206A5035">
            <w:pPr>
              <w:pStyle w:val="17"/>
              <w:ind w:firstLine="0" w:firstLineChars="0"/>
              <w:rPr>
                <w:szCs w:val="21"/>
              </w:rPr>
            </w:pPr>
            <w:r>
              <w:rPr>
                <w:szCs w:val="21"/>
              </w:rPr>
              <w:t>2.SO</w:t>
            </w:r>
            <w:r>
              <w:rPr>
                <w:rFonts w:hint="eastAsia"/>
                <w:szCs w:val="21"/>
                <w:vertAlign w:val="subscript"/>
              </w:rPr>
              <w:t>2</w:t>
            </w:r>
            <w:r>
              <w:rPr>
                <w:szCs w:val="21"/>
              </w:rPr>
              <w:t>&gt;</w:t>
            </w:r>
            <w:r>
              <w:rPr>
                <w:rFonts w:hint="eastAsia"/>
                <w:szCs w:val="21"/>
              </w:rPr>
              <w:t>浓度&gt;5</w:t>
            </w:r>
            <w:r>
              <w:rPr>
                <w:szCs w:val="21"/>
              </w:rPr>
              <w:t>μL</w:t>
            </w:r>
            <w:r>
              <w:rPr>
                <w:rFonts w:hint="eastAsia"/>
                <w:szCs w:val="21"/>
              </w:rPr>
              <w:t>，H2S浓度&gt;1</w:t>
            </w:r>
            <w:r>
              <w:rPr>
                <w:szCs w:val="21"/>
              </w:rPr>
              <w:t>μL/L</w:t>
            </w:r>
            <w:r>
              <w:rPr>
                <w:rFonts w:hint="eastAsia"/>
                <w:szCs w:val="21"/>
              </w:rPr>
              <w:t>，CO浓度&gt;30</w:t>
            </w:r>
            <w:r>
              <w:rPr>
                <w:szCs w:val="21"/>
              </w:rPr>
              <w:t>μL/L</w:t>
            </w:r>
          </w:p>
          <w:p w14:paraId="34D0CD87">
            <w:pPr>
              <w:pStyle w:val="17"/>
              <w:ind w:firstLine="0" w:firstLineChars="0"/>
              <w:rPr>
                <w:szCs w:val="21"/>
              </w:rPr>
            </w:pPr>
            <w:r>
              <w:rPr>
                <w:szCs w:val="21"/>
              </w:rPr>
              <w:t>3.X射线确认危险缺陷</w:t>
            </w:r>
          </w:p>
        </w:tc>
        <w:tc>
          <w:tcPr>
            <w:tcW w:w="1995" w:type="dxa"/>
            <w:vAlign w:val="center"/>
          </w:tcPr>
          <w:p w14:paraId="14527671">
            <w:pPr>
              <w:pStyle w:val="17"/>
              <w:ind w:firstLine="0" w:firstLineChars="0"/>
              <w:jc w:val="center"/>
              <w:rPr>
                <w:szCs w:val="21"/>
              </w:rPr>
            </w:pPr>
            <w:r>
              <w:rPr>
                <w:rFonts w:hint="eastAsia"/>
                <w:szCs w:val="21"/>
              </w:rPr>
              <w:t>短期</w:t>
            </w:r>
            <w:r>
              <w:rPr>
                <w:rFonts w:hint="eastAsia"/>
                <w:szCs w:val="18"/>
              </w:rPr>
              <w:t>ΔP</w:t>
            </w:r>
            <w:r>
              <w:rPr>
                <w:rFonts w:hint="eastAsia"/>
                <w:szCs w:val="18"/>
                <w:vertAlign w:val="subscript"/>
              </w:rPr>
              <w:t>24</w:t>
            </w:r>
            <w:r>
              <w:rPr>
                <w:szCs w:val="18"/>
                <w:vertAlign w:val="subscript"/>
              </w:rPr>
              <w:t>h</w:t>
            </w:r>
            <w:r>
              <w:rPr>
                <w:rFonts w:hint="eastAsia"/>
                <w:szCs w:val="18"/>
              </w:rPr>
              <w:t>＞5dBm</w:t>
            </w:r>
            <w:r>
              <w:rPr>
                <w:rFonts w:hint="eastAsia"/>
                <w:szCs w:val="21"/>
              </w:rPr>
              <w:t>或信号强度呈加速上升趋势</w:t>
            </w:r>
          </w:p>
        </w:tc>
      </w:tr>
    </w:tbl>
    <w:p w14:paraId="5BFB5700">
      <w:pPr>
        <w:pStyle w:val="17"/>
        <w:ind w:firstLine="0" w:firstLineChars="0"/>
        <w:rPr>
          <w:szCs w:val="21"/>
        </w:rPr>
      </w:pPr>
    </w:p>
    <w:p w14:paraId="235B2106">
      <w:pPr>
        <w:pStyle w:val="34"/>
      </w:pPr>
      <w:r>
        <w:t>缺陷</w:t>
      </w:r>
      <w:r>
        <w:rPr>
          <w:rFonts w:hint="eastAsia"/>
        </w:rPr>
        <w:t>等级处置</w:t>
      </w:r>
      <w:r>
        <w:t>建议</w:t>
      </w:r>
    </w:p>
    <w:p w14:paraId="6379053D">
      <w:pPr>
        <w:pStyle w:val="17"/>
        <w:rPr>
          <w:szCs w:val="21"/>
        </w:rPr>
      </w:pPr>
      <w:r>
        <w:rPr>
          <w:rFonts w:hint="eastAsia"/>
          <w:szCs w:val="21"/>
        </w:rPr>
        <w:t>根据缺陷风险等级，应采取相应的运行监测和处置措施，如表3所示。</w:t>
      </w:r>
    </w:p>
    <w:p w14:paraId="7E34C184">
      <w:pPr>
        <w:pStyle w:val="17"/>
        <w:jc w:val="center"/>
        <w:rPr>
          <w:rFonts w:hint="eastAsia" w:ascii="黑体" w:hAnsi="黑体" w:eastAsia="黑体"/>
        </w:rPr>
      </w:pPr>
      <w:r>
        <w:rPr>
          <w:rFonts w:ascii="黑体" w:hAnsi="黑体" w:eastAsia="黑体"/>
        </w:rPr>
        <w:t>表</w:t>
      </w:r>
      <w:r>
        <w:rPr>
          <w:rFonts w:hint="eastAsia" w:ascii="黑体" w:hAnsi="黑体" w:eastAsia="黑体"/>
        </w:rPr>
        <w:t>3</w:t>
      </w:r>
      <w:r>
        <w:rPr>
          <w:rFonts w:ascii="黑体" w:hAnsi="黑体" w:eastAsia="黑体"/>
        </w:rPr>
        <w:t xml:space="preserve"> </w:t>
      </w:r>
      <w:r>
        <w:rPr>
          <w:rFonts w:hint="eastAsia" w:ascii="黑体" w:hAnsi="黑体" w:eastAsia="黑体"/>
        </w:rPr>
        <w:t>不同缺陷等级下运行监测和处置措施</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5"/>
        <w:gridCol w:w="1939"/>
        <w:gridCol w:w="2854"/>
        <w:gridCol w:w="3377"/>
      </w:tblGrid>
      <w:tr w14:paraId="73AA3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trPr>
        <w:tc>
          <w:tcPr>
            <w:tcW w:w="1175" w:type="dxa"/>
            <w:vAlign w:val="center"/>
          </w:tcPr>
          <w:p w14:paraId="134B5F74">
            <w:pPr>
              <w:pStyle w:val="17"/>
              <w:ind w:firstLine="0" w:firstLineChars="0"/>
              <w:jc w:val="center"/>
              <w:rPr>
                <w:szCs w:val="21"/>
              </w:rPr>
            </w:pPr>
            <w:r>
              <w:rPr>
                <w:rFonts w:hint="eastAsia"/>
                <w:szCs w:val="21"/>
              </w:rPr>
              <w:t>缺陷等级</w:t>
            </w:r>
          </w:p>
        </w:tc>
        <w:tc>
          <w:tcPr>
            <w:tcW w:w="1939" w:type="dxa"/>
            <w:vAlign w:val="center"/>
          </w:tcPr>
          <w:p w14:paraId="7D8E840B">
            <w:pPr>
              <w:pStyle w:val="17"/>
              <w:ind w:firstLine="0" w:firstLineChars="0"/>
              <w:jc w:val="center"/>
              <w:rPr>
                <w:szCs w:val="21"/>
              </w:rPr>
            </w:pPr>
            <w:r>
              <w:rPr>
                <w:rFonts w:hint="eastAsia"/>
                <w:szCs w:val="21"/>
              </w:rPr>
              <w:t>风险描述</w:t>
            </w:r>
          </w:p>
        </w:tc>
        <w:tc>
          <w:tcPr>
            <w:tcW w:w="2854" w:type="dxa"/>
            <w:vAlign w:val="center"/>
          </w:tcPr>
          <w:p w14:paraId="43E2A66D">
            <w:pPr>
              <w:pStyle w:val="17"/>
              <w:ind w:firstLine="0" w:firstLineChars="0"/>
              <w:jc w:val="center"/>
              <w:rPr>
                <w:szCs w:val="21"/>
              </w:rPr>
            </w:pPr>
            <w:r>
              <w:rPr>
                <w:rFonts w:hint="eastAsia"/>
                <w:szCs w:val="21"/>
              </w:rPr>
              <w:t>运行监测要求</w:t>
            </w:r>
          </w:p>
        </w:tc>
        <w:tc>
          <w:tcPr>
            <w:tcW w:w="3377" w:type="dxa"/>
            <w:vAlign w:val="center"/>
          </w:tcPr>
          <w:p w14:paraId="3024D98E">
            <w:pPr>
              <w:pStyle w:val="17"/>
              <w:ind w:firstLine="0" w:firstLineChars="0"/>
              <w:jc w:val="center"/>
              <w:rPr>
                <w:szCs w:val="21"/>
              </w:rPr>
            </w:pPr>
            <w:r>
              <w:rPr>
                <w:rFonts w:hint="eastAsia"/>
                <w:szCs w:val="21"/>
              </w:rPr>
              <w:t>处置措施</w:t>
            </w:r>
          </w:p>
        </w:tc>
      </w:tr>
      <w:tr w14:paraId="7EC11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trPr>
        <w:tc>
          <w:tcPr>
            <w:tcW w:w="1175" w:type="dxa"/>
            <w:vAlign w:val="center"/>
          </w:tcPr>
          <w:p w14:paraId="6E21D80C">
            <w:pPr>
              <w:pStyle w:val="17"/>
              <w:ind w:firstLine="0" w:firstLineChars="0"/>
              <w:jc w:val="center"/>
              <w:rPr>
                <w:szCs w:val="21"/>
              </w:rPr>
            </w:pPr>
            <w:r>
              <w:rPr>
                <w:rFonts w:hint="eastAsia"/>
                <w:szCs w:val="21"/>
              </w:rPr>
              <w:t>一般</w:t>
            </w:r>
          </w:p>
        </w:tc>
        <w:tc>
          <w:tcPr>
            <w:tcW w:w="1939" w:type="dxa"/>
            <w:vAlign w:val="center"/>
          </w:tcPr>
          <w:p w14:paraId="4ECF6412">
            <w:pPr>
              <w:pStyle w:val="17"/>
              <w:ind w:firstLine="0" w:firstLineChars="0"/>
              <w:jc w:val="center"/>
              <w:rPr>
                <w:szCs w:val="21"/>
              </w:rPr>
            </w:pPr>
            <w:r>
              <w:rPr>
                <w:szCs w:val="21"/>
              </w:rPr>
              <w:t>绝缘系统初期劣化，风险低</w:t>
            </w:r>
          </w:p>
        </w:tc>
        <w:tc>
          <w:tcPr>
            <w:tcW w:w="2854" w:type="dxa"/>
            <w:vAlign w:val="center"/>
          </w:tcPr>
          <w:p w14:paraId="51E87211">
            <w:pPr>
              <w:pStyle w:val="17"/>
              <w:ind w:firstLine="0" w:firstLineChars="0"/>
              <w:jc w:val="center"/>
              <w:rPr>
                <w:szCs w:val="21"/>
              </w:rPr>
            </w:pPr>
            <w:r>
              <w:rPr>
                <w:szCs w:val="21"/>
              </w:rPr>
              <w:t>每</w:t>
            </w:r>
            <w:r>
              <w:rPr>
                <w:rFonts w:hint="eastAsia"/>
                <w:szCs w:val="21"/>
              </w:rPr>
              <w:t>周</w:t>
            </w:r>
            <w:r>
              <w:rPr>
                <w:szCs w:val="21"/>
              </w:rPr>
              <w:t>复核1次</w:t>
            </w:r>
          </w:p>
        </w:tc>
        <w:tc>
          <w:tcPr>
            <w:tcW w:w="3377" w:type="dxa"/>
            <w:vAlign w:val="center"/>
          </w:tcPr>
          <w:p w14:paraId="6EAE9E67">
            <w:pPr>
              <w:pStyle w:val="17"/>
              <w:ind w:firstLine="0" w:firstLineChars="0"/>
              <w:jc w:val="center"/>
              <w:rPr>
                <w:szCs w:val="21"/>
              </w:rPr>
            </w:pPr>
            <w:r>
              <w:rPr>
                <w:szCs w:val="21"/>
              </w:rPr>
              <w:t>监视运行。纳入状态检修计划，</w:t>
            </w:r>
            <w:r>
              <w:rPr>
                <w:rFonts w:hint="eastAsia"/>
                <w:szCs w:val="21"/>
              </w:rPr>
              <w:t>建议</w:t>
            </w:r>
            <w:r>
              <w:rPr>
                <w:szCs w:val="21"/>
              </w:rPr>
              <w:t>在下次计划停电检修时进行核查与处理</w:t>
            </w:r>
          </w:p>
        </w:tc>
      </w:tr>
      <w:tr w14:paraId="597CA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1175" w:type="dxa"/>
            <w:vAlign w:val="center"/>
          </w:tcPr>
          <w:p w14:paraId="716F1081">
            <w:pPr>
              <w:pStyle w:val="17"/>
              <w:ind w:firstLine="0" w:firstLineChars="0"/>
              <w:jc w:val="center"/>
              <w:rPr>
                <w:szCs w:val="21"/>
              </w:rPr>
            </w:pPr>
            <w:r>
              <w:rPr>
                <w:rFonts w:hint="eastAsia"/>
                <w:szCs w:val="21"/>
              </w:rPr>
              <w:t>重大</w:t>
            </w:r>
          </w:p>
        </w:tc>
        <w:tc>
          <w:tcPr>
            <w:tcW w:w="1939" w:type="dxa"/>
            <w:vAlign w:val="center"/>
          </w:tcPr>
          <w:p w14:paraId="32C80BED">
            <w:pPr>
              <w:pStyle w:val="17"/>
              <w:ind w:firstLine="0" w:firstLineChars="0"/>
              <w:jc w:val="center"/>
              <w:rPr>
                <w:szCs w:val="21"/>
              </w:rPr>
            </w:pPr>
            <w:r>
              <w:rPr>
                <w:szCs w:val="21"/>
              </w:rPr>
              <w:t>绝缘存在明显缺陷，可能发展为击穿故障，具有较高运行风险</w:t>
            </w:r>
          </w:p>
        </w:tc>
        <w:tc>
          <w:tcPr>
            <w:tcW w:w="2854" w:type="dxa"/>
            <w:vAlign w:val="center"/>
          </w:tcPr>
          <w:p w14:paraId="5FBEBEE2">
            <w:pPr>
              <w:pStyle w:val="17"/>
              <w:ind w:firstLine="0" w:firstLineChars="0"/>
              <w:jc w:val="center"/>
              <w:rPr>
                <w:szCs w:val="21"/>
              </w:rPr>
            </w:pPr>
            <w:r>
              <w:rPr>
                <w:szCs w:val="21"/>
              </w:rPr>
              <w:t>每日复核1次，每</w:t>
            </w:r>
            <w:r>
              <w:rPr>
                <w:rFonts w:hint="eastAsia"/>
                <w:szCs w:val="21"/>
              </w:rPr>
              <w:t>24</w:t>
            </w:r>
            <w:r>
              <w:rPr>
                <w:szCs w:val="21"/>
              </w:rPr>
              <w:t>小时关注趋势变化，必要时启动</w:t>
            </w:r>
            <w:r>
              <w:rPr>
                <w:rFonts w:hint="eastAsia"/>
                <w:szCs w:val="21"/>
              </w:rPr>
              <w:t>重症监护系统</w:t>
            </w:r>
            <w:r>
              <w:rPr>
                <w:szCs w:val="21"/>
              </w:rPr>
              <w:t>连续监测</w:t>
            </w:r>
          </w:p>
        </w:tc>
        <w:tc>
          <w:tcPr>
            <w:tcW w:w="3377" w:type="dxa"/>
            <w:vAlign w:val="center"/>
          </w:tcPr>
          <w:p w14:paraId="73684942">
            <w:pPr>
              <w:pStyle w:val="17"/>
              <w:ind w:firstLine="0" w:firstLineChars="0"/>
              <w:jc w:val="center"/>
              <w:rPr>
                <w:szCs w:val="21"/>
              </w:rPr>
            </w:pPr>
            <w:r>
              <w:rPr>
                <w:szCs w:val="21"/>
              </w:rPr>
              <w:t>加强监视并择机处理。提前准备备品备件，制定检修方案</w:t>
            </w:r>
          </w:p>
        </w:tc>
      </w:tr>
      <w:tr w14:paraId="53F7B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trPr>
        <w:tc>
          <w:tcPr>
            <w:tcW w:w="1175" w:type="dxa"/>
            <w:vAlign w:val="center"/>
          </w:tcPr>
          <w:p w14:paraId="1773D3CA">
            <w:pPr>
              <w:pStyle w:val="17"/>
              <w:ind w:firstLine="0" w:firstLineChars="0"/>
              <w:jc w:val="center"/>
              <w:rPr>
                <w:szCs w:val="21"/>
              </w:rPr>
            </w:pPr>
            <w:r>
              <w:rPr>
                <w:rFonts w:hint="eastAsia"/>
                <w:szCs w:val="21"/>
              </w:rPr>
              <w:t>紧急</w:t>
            </w:r>
          </w:p>
        </w:tc>
        <w:tc>
          <w:tcPr>
            <w:tcW w:w="1939" w:type="dxa"/>
            <w:vAlign w:val="center"/>
          </w:tcPr>
          <w:p w14:paraId="403E9A59">
            <w:pPr>
              <w:pStyle w:val="17"/>
              <w:ind w:firstLine="0" w:firstLineChars="0"/>
              <w:jc w:val="center"/>
              <w:rPr>
                <w:szCs w:val="21"/>
              </w:rPr>
            </w:pPr>
            <w:r>
              <w:rPr>
                <w:szCs w:val="21"/>
              </w:rPr>
              <w:t>绝缘系统已处于临界状态，随时可能</w:t>
            </w:r>
            <w:r>
              <w:rPr>
                <w:rFonts w:hint="eastAsia"/>
                <w:szCs w:val="21"/>
              </w:rPr>
              <w:t>放电击穿</w:t>
            </w:r>
            <w:r>
              <w:rPr>
                <w:szCs w:val="21"/>
              </w:rPr>
              <w:t>，危及设备安全</w:t>
            </w:r>
          </w:p>
        </w:tc>
        <w:tc>
          <w:tcPr>
            <w:tcW w:w="2854" w:type="dxa"/>
            <w:vAlign w:val="center"/>
          </w:tcPr>
          <w:p w14:paraId="754F1E94">
            <w:pPr>
              <w:pStyle w:val="17"/>
              <w:ind w:firstLine="0" w:firstLineChars="0"/>
              <w:jc w:val="center"/>
              <w:rPr>
                <w:szCs w:val="21"/>
              </w:rPr>
            </w:pPr>
            <w:r>
              <w:rPr>
                <w:szCs w:val="21"/>
              </w:rPr>
              <w:t>立即启动</w:t>
            </w:r>
            <w:r>
              <w:rPr>
                <w:rFonts w:hint="eastAsia"/>
                <w:szCs w:val="21"/>
              </w:rPr>
              <w:t>重症监护系统连续监测</w:t>
            </w:r>
          </w:p>
        </w:tc>
        <w:tc>
          <w:tcPr>
            <w:tcW w:w="3377" w:type="dxa"/>
            <w:vAlign w:val="center"/>
          </w:tcPr>
          <w:p w14:paraId="53A52EF4">
            <w:pPr>
              <w:pStyle w:val="17"/>
              <w:ind w:firstLine="0" w:firstLineChars="0"/>
              <w:jc w:val="center"/>
              <w:rPr>
                <w:szCs w:val="21"/>
              </w:rPr>
            </w:pPr>
            <w:r>
              <w:rPr>
                <w:rFonts w:hint="eastAsia"/>
                <w:szCs w:val="21"/>
              </w:rPr>
              <w:t>立即</w:t>
            </w:r>
            <w:r>
              <w:rPr>
                <w:szCs w:val="21"/>
              </w:rPr>
              <w:t>停电抢修</w:t>
            </w:r>
          </w:p>
        </w:tc>
      </w:tr>
    </w:tbl>
    <w:p w14:paraId="2814658E">
      <w:pPr>
        <w:pStyle w:val="17"/>
      </w:pPr>
    </w:p>
    <w:p w14:paraId="34C26ED0">
      <w:pPr>
        <w:pStyle w:val="34"/>
      </w:pPr>
      <w:r>
        <w:rPr>
          <w:rFonts w:hint="eastAsia"/>
        </w:rPr>
        <w:t>安全注意事项</w:t>
      </w:r>
    </w:p>
    <w:p w14:paraId="08269ED2">
      <w:pPr>
        <w:ind w:firstLine="420" w:firstLineChars="200"/>
        <w:rPr>
          <w:szCs w:val="21"/>
        </w:rPr>
      </w:pPr>
      <w:r>
        <w:rPr>
          <w:rFonts w:hint="eastAsia"/>
          <w:szCs w:val="21"/>
        </w:rPr>
        <w:t>执行处置措施时应遵守以下安全要求：</w:t>
      </w:r>
    </w:p>
    <w:p w14:paraId="6402F70E">
      <w:pPr>
        <w:ind w:firstLine="420" w:firstLineChars="200"/>
        <w:rPr>
          <w:szCs w:val="21"/>
        </w:rPr>
      </w:pPr>
      <w:r>
        <w:rPr>
          <w:szCs w:val="21"/>
        </w:rPr>
        <w:t xml:space="preserve">a) </w:t>
      </w:r>
      <w:r>
        <w:rPr>
          <w:rFonts w:hint="eastAsia"/>
          <w:szCs w:val="21"/>
        </w:rPr>
        <w:t>紧急缺陷处理前，应对相邻气室进行</w:t>
      </w:r>
      <w:r>
        <w:rPr>
          <w:szCs w:val="21"/>
        </w:rPr>
        <w:t>SF₆</w:t>
      </w:r>
      <w:r>
        <w:rPr>
          <w:rFonts w:hint="eastAsia"/>
          <w:szCs w:val="21"/>
        </w:rPr>
        <w:t>气体回收，防止交叉污染；</w:t>
      </w:r>
    </w:p>
    <w:p w14:paraId="04B95BC4">
      <w:pPr>
        <w:ind w:firstLine="420" w:firstLineChars="200"/>
        <w:rPr>
          <w:szCs w:val="21"/>
        </w:rPr>
      </w:pPr>
      <w:r>
        <w:rPr>
          <w:rFonts w:hint="eastAsia"/>
          <w:szCs w:val="21"/>
        </w:rPr>
        <w:t>b) 涉及绝缘子更换时，应严格控制环境湿度（≤60%）和粉尘度，装配前进行无尘化处理；</w:t>
      </w:r>
    </w:p>
    <w:p w14:paraId="57DDFCDA">
      <w:pPr>
        <w:ind w:firstLine="420" w:firstLineChars="200"/>
        <w:rPr>
          <w:szCs w:val="21"/>
        </w:rPr>
      </w:pPr>
      <w:r>
        <w:rPr>
          <w:rFonts w:hint="eastAsia"/>
          <w:szCs w:val="21"/>
        </w:rPr>
        <w:t>c) 处理完成后应进行老练试验；</w:t>
      </w:r>
    </w:p>
    <w:p w14:paraId="33F6EC5C">
      <w:pPr>
        <w:ind w:firstLine="420" w:firstLineChars="200"/>
        <w:rPr>
          <w:szCs w:val="21"/>
        </w:rPr>
      </w:pPr>
    </w:p>
    <w:p w14:paraId="489AD5BE">
      <w:pPr>
        <w:spacing w:before="156" w:beforeLines="50" w:after="156" w:afterLines="50"/>
        <w:outlineLvl w:val="0"/>
        <w:rPr>
          <w:rFonts w:eastAsia="黑体"/>
          <w:b/>
          <w:sz w:val="24"/>
        </w:rPr>
        <w:sectPr>
          <w:pgSz w:w="11906" w:h="16838"/>
          <w:pgMar w:top="567" w:right="1134" w:bottom="1134" w:left="1417" w:header="1418" w:footer="1134" w:gutter="0"/>
          <w:pgNumType w:start="1"/>
          <w:cols w:space="425" w:num="1"/>
          <w:formProt w:val="0"/>
          <w:docGrid w:type="lines" w:linePitch="312" w:charSpace="0"/>
        </w:sectPr>
      </w:pPr>
    </w:p>
    <w:p w14:paraId="22378E0F">
      <w:pPr>
        <w:pStyle w:val="76"/>
      </w:pPr>
      <w:bookmarkStart w:id="49" w:name="_Toc22186"/>
      <w:r>
        <w:br w:type="textWrapping"/>
      </w:r>
      <w:r>
        <w:rPr>
          <w:rFonts w:hint="eastAsia"/>
        </w:rPr>
        <w:t>（规范性附录）</w:t>
      </w:r>
      <w:r>
        <w:br w:type="textWrapping"/>
      </w:r>
      <w:r>
        <w:rPr>
          <w:rFonts w:hint="eastAsia"/>
        </w:rPr>
        <w:t>GIL盆式绝缘子绝缘类缺陷模拟实验室试验方案</w:t>
      </w:r>
      <w:bookmarkEnd w:id="49"/>
    </w:p>
    <w:p w14:paraId="464D5518">
      <w:pPr>
        <w:pStyle w:val="34"/>
        <w:numPr>
          <w:ilvl w:val="0"/>
          <w:numId w:val="0"/>
        </w:numPr>
      </w:pPr>
      <w:r>
        <w:rPr>
          <w:rFonts w:hint="eastAsia"/>
        </w:rPr>
        <w:t>A.1 试验设备</w:t>
      </w:r>
    </w:p>
    <w:p w14:paraId="693DB8F8">
      <w:pPr>
        <w:ind w:firstLine="420"/>
      </w:pPr>
      <w:r>
        <w:rPr>
          <w:rFonts w:hint="eastAsia"/>
        </w:rPr>
        <w:t>实验室试验所使用的主要试验设备及技术要求应满足表 A.1 的规定。</w:t>
      </w:r>
    </w:p>
    <w:p w14:paraId="428992AA">
      <w:pPr>
        <w:jc w:val="center"/>
        <w:rPr>
          <w:rFonts w:hint="eastAsia" w:ascii="黑体" w:hAnsi="黑体" w:eastAsia="黑体"/>
        </w:rPr>
      </w:pPr>
      <w:r>
        <w:rPr>
          <w:rFonts w:hint="eastAsia" w:ascii="黑体" w:hAnsi="黑体" w:eastAsia="黑体"/>
        </w:rPr>
        <w:t>表 A.1 试验设备及技术要求</w:t>
      </w:r>
    </w:p>
    <w:tbl>
      <w:tblPr>
        <w:tblStyle w:val="24"/>
        <w:tblW w:w="7856" w:type="dxa"/>
        <w:jc w:val="center"/>
        <w:tblLayout w:type="autofit"/>
        <w:tblCellMar>
          <w:top w:w="0" w:type="dxa"/>
          <w:left w:w="108" w:type="dxa"/>
          <w:bottom w:w="0" w:type="dxa"/>
          <w:right w:w="108" w:type="dxa"/>
        </w:tblCellMar>
      </w:tblPr>
      <w:tblGrid>
        <w:gridCol w:w="706"/>
        <w:gridCol w:w="2992"/>
        <w:gridCol w:w="4158"/>
      </w:tblGrid>
      <w:tr w14:paraId="1918F396">
        <w:tblPrEx>
          <w:tblCellMar>
            <w:top w:w="0" w:type="dxa"/>
            <w:left w:w="108" w:type="dxa"/>
            <w:bottom w:w="0" w:type="dxa"/>
            <w:right w:w="108" w:type="dxa"/>
          </w:tblCellMar>
        </w:tblPrEx>
        <w:trPr>
          <w:trHeight w:val="210" w:hRule="atLeast"/>
          <w:jc w:val="center"/>
        </w:trPr>
        <w:tc>
          <w:tcPr>
            <w:tcW w:w="706" w:type="dxa"/>
            <w:tcBorders>
              <w:top w:val="single" w:color="000000" w:sz="4" w:space="0"/>
              <w:left w:val="single" w:color="000000" w:sz="4" w:space="0"/>
              <w:bottom w:val="single" w:color="000000" w:sz="4" w:space="0"/>
              <w:right w:val="single" w:color="000000" w:sz="4" w:space="0"/>
              <w:tl2br w:val="nil"/>
            </w:tcBorders>
            <w:vAlign w:val="center"/>
          </w:tcPr>
          <w:p w14:paraId="225FE62E">
            <w:pPr>
              <w:widowControl/>
              <w:jc w:val="center"/>
              <w:textAlignment w:val="center"/>
              <w:rPr>
                <w:rFonts w:eastAsiaTheme="minorEastAsia"/>
                <w:bCs/>
                <w:color w:val="000000"/>
                <w:kern w:val="0"/>
                <w:szCs w:val="21"/>
                <w:lang w:bidi="ar"/>
              </w:rPr>
            </w:pPr>
            <w:r>
              <w:rPr>
                <w:bCs/>
                <w:color w:val="000000"/>
                <w:kern w:val="0"/>
                <w:szCs w:val="21"/>
                <w:lang w:bidi="ar"/>
              </w:rPr>
              <w:t>序号</w:t>
            </w:r>
          </w:p>
        </w:tc>
        <w:tc>
          <w:tcPr>
            <w:tcW w:w="2992" w:type="dxa"/>
            <w:tcBorders>
              <w:top w:val="single" w:color="000000" w:sz="4" w:space="0"/>
              <w:left w:val="single" w:color="000000" w:sz="4" w:space="0"/>
              <w:bottom w:val="single" w:color="000000" w:sz="4" w:space="0"/>
              <w:right w:val="single" w:color="000000" w:sz="4" w:space="0"/>
              <w:tl2br w:val="nil"/>
            </w:tcBorders>
            <w:vAlign w:val="center"/>
          </w:tcPr>
          <w:p w14:paraId="2CEC6683">
            <w:pPr>
              <w:widowControl/>
              <w:jc w:val="center"/>
              <w:textAlignment w:val="center"/>
              <w:rPr>
                <w:bCs/>
                <w:color w:val="000000"/>
                <w:szCs w:val="21"/>
              </w:rPr>
            </w:pPr>
            <w:r>
              <w:rPr>
                <w:bCs/>
                <w:color w:val="000000"/>
                <w:kern w:val="0"/>
                <w:szCs w:val="21"/>
                <w:lang w:bidi="ar"/>
              </w:rPr>
              <w:t>设备名称</w:t>
            </w:r>
          </w:p>
        </w:tc>
        <w:tc>
          <w:tcPr>
            <w:tcW w:w="4158" w:type="dxa"/>
            <w:tcBorders>
              <w:top w:val="single" w:color="000000" w:sz="4" w:space="0"/>
              <w:left w:val="single" w:color="000000" w:sz="4" w:space="0"/>
              <w:bottom w:val="single" w:color="000000" w:sz="4" w:space="0"/>
              <w:right w:val="single" w:color="000000" w:sz="4" w:space="0"/>
            </w:tcBorders>
            <w:vAlign w:val="center"/>
          </w:tcPr>
          <w:p w14:paraId="21A05131">
            <w:pPr>
              <w:widowControl/>
              <w:jc w:val="center"/>
              <w:textAlignment w:val="center"/>
              <w:rPr>
                <w:rFonts w:eastAsiaTheme="minorEastAsia"/>
                <w:bCs/>
                <w:color w:val="000000"/>
                <w:szCs w:val="21"/>
              </w:rPr>
            </w:pPr>
            <w:r>
              <w:rPr>
                <w:bCs/>
                <w:color w:val="000000"/>
                <w:kern w:val="0"/>
                <w:szCs w:val="21"/>
                <w:lang w:bidi="ar"/>
              </w:rPr>
              <w:t>技术规格</w:t>
            </w:r>
          </w:p>
        </w:tc>
      </w:tr>
      <w:tr w14:paraId="07811560">
        <w:tblPrEx>
          <w:tblCellMar>
            <w:top w:w="0" w:type="dxa"/>
            <w:left w:w="108" w:type="dxa"/>
            <w:bottom w:w="0" w:type="dxa"/>
            <w:right w:w="108" w:type="dxa"/>
          </w:tblCellMar>
        </w:tblPrEx>
        <w:trPr>
          <w:trHeight w:val="293" w:hRule="atLeast"/>
          <w:jc w:val="center"/>
        </w:trPr>
        <w:tc>
          <w:tcPr>
            <w:tcW w:w="706" w:type="dxa"/>
            <w:tcBorders>
              <w:top w:val="single" w:color="000000" w:sz="4" w:space="0"/>
              <w:left w:val="single" w:color="000000" w:sz="4" w:space="0"/>
              <w:bottom w:val="single" w:color="000000" w:sz="4" w:space="0"/>
              <w:right w:val="single" w:color="000000" w:sz="4" w:space="0"/>
            </w:tcBorders>
            <w:vAlign w:val="center"/>
          </w:tcPr>
          <w:p w14:paraId="2896815E">
            <w:pPr>
              <w:widowControl/>
              <w:jc w:val="center"/>
              <w:textAlignment w:val="center"/>
              <w:rPr>
                <w:rFonts w:eastAsiaTheme="minorEastAsia"/>
                <w:color w:val="000000"/>
                <w:kern w:val="0"/>
                <w:szCs w:val="21"/>
                <w:lang w:bidi="ar"/>
              </w:rPr>
            </w:pPr>
            <w:r>
              <w:rPr>
                <w:color w:val="000000"/>
                <w:kern w:val="0"/>
                <w:szCs w:val="21"/>
                <w:lang w:bidi="ar"/>
              </w:rPr>
              <w:t>1</w:t>
            </w:r>
          </w:p>
        </w:tc>
        <w:tc>
          <w:tcPr>
            <w:tcW w:w="2992" w:type="dxa"/>
            <w:tcBorders>
              <w:top w:val="single" w:color="000000" w:sz="4" w:space="0"/>
              <w:left w:val="single" w:color="000000" w:sz="4" w:space="0"/>
              <w:bottom w:val="single" w:color="000000" w:sz="4" w:space="0"/>
              <w:right w:val="single" w:color="000000" w:sz="4" w:space="0"/>
            </w:tcBorders>
            <w:vAlign w:val="center"/>
          </w:tcPr>
          <w:p w14:paraId="0D626602">
            <w:pPr>
              <w:widowControl/>
              <w:jc w:val="center"/>
              <w:textAlignment w:val="center"/>
              <w:rPr>
                <w:color w:val="000000"/>
                <w:szCs w:val="21"/>
              </w:rPr>
            </w:pPr>
            <w:r>
              <w:rPr>
                <w:color w:val="000000"/>
                <w:szCs w:val="21"/>
              </w:rPr>
              <w:t>真型缺陷模拟装置</w:t>
            </w:r>
          </w:p>
        </w:tc>
        <w:tc>
          <w:tcPr>
            <w:tcW w:w="4158" w:type="dxa"/>
            <w:tcBorders>
              <w:top w:val="single" w:color="000000" w:sz="4" w:space="0"/>
              <w:left w:val="single" w:color="000000" w:sz="4" w:space="0"/>
              <w:bottom w:val="single" w:color="000000" w:sz="4" w:space="0"/>
              <w:right w:val="single" w:color="000000" w:sz="4" w:space="0"/>
            </w:tcBorders>
            <w:vAlign w:val="center"/>
          </w:tcPr>
          <w:p w14:paraId="00F83DCD">
            <w:pPr>
              <w:widowControl/>
              <w:jc w:val="left"/>
              <w:textAlignment w:val="center"/>
              <w:rPr>
                <w:color w:val="000000"/>
                <w:kern w:val="0"/>
                <w:szCs w:val="21"/>
                <w:lang w:bidi="ar"/>
              </w:rPr>
            </w:pPr>
            <w:r>
              <w:rPr>
                <w:color w:val="000000"/>
                <w:kern w:val="0"/>
                <w:szCs w:val="21"/>
                <w:lang w:bidi="ar"/>
              </w:rPr>
              <w:t>具备盆式绝缘子安装工位；</w:t>
            </w:r>
          </w:p>
          <w:p w14:paraId="76545679">
            <w:pPr>
              <w:widowControl/>
              <w:jc w:val="left"/>
              <w:textAlignment w:val="center"/>
              <w:rPr>
                <w:color w:val="000000"/>
                <w:kern w:val="0"/>
                <w:szCs w:val="21"/>
                <w:lang w:bidi="ar"/>
              </w:rPr>
            </w:pPr>
            <w:r>
              <w:rPr>
                <w:color w:val="000000"/>
                <w:kern w:val="0"/>
                <w:szCs w:val="21"/>
                <w:lang w:bidi="ar"/>
              </w:rPr>
              <w:t>支持缺陷模型（金属微粒、气隙、沿面等）的置入与调节；</w:t>
            </w:r>
          </w:p>
          <w:p w14:paraId="0AFE478E">
            <w:pPr>
              <w:widowControl/>
              <w:jc w:val="left"/>
              <w:textAlignment w:val="center"/>
              <w:rPr>
                <w:color w:val="000000"/>
                <w:kern w:val="0"/>
                <w:szCs w:val="21"/>
                <w:lang w:bidi="ar"/>
              </w:rPr>
            </w:pPr>
            <w:r>
              <w:rPr>
                <w:color w:val="000000"/>
                <w:kern w:val="0"/>
                <w:szCs w:val="21"/>
                <w:lang w:bidi="ar"/>
              </w:rPr>
              <w:t>气室密封性良好，耐压等级不低于</w:t>
            </w:r>
            <w:r>
              <w:rPr>
                <w:rFonts w:hint="eastAsia"/>
                <w:color w:val="000000"/>
                <w:kern w:val="0"/>
                <w:szCs w:val="21"/>
                <w:lang w:bidi="ar"/>
              </w:rPr>
              <w:t>1.1Ur</w:t>
            </w:r>
          </w:p>
        </w:tc>
      </w:tr>
      <w:tr w14:paraId="1D0EA1F4">
        <w:tblPrEx>
          <w:tblCellMar>
            <w:top w:w="0" w:type="dxa"/>
            <w:left w:w="108" w:type="dxa"/>
            <w:bottom w:w="0" w:type="dxa"/>
            <w:right w:w="108" w:type="dxa"/>
          </w:tblCellMar>
        </w:tblPrEx>
        <w:trPr>
          <w:trHeight w:val="278" w:hRule="atLeast"/>
          <w:jc w:val="center"/>
        </w:trPr>
        <w:tc>
          <w:tcPr>
            <w:tcW w:w="706" w:type="dxa"/>
            <w:tcBorders>
              <w:top w:val="single" w:color="000000" w:sz="4" w:space="0"/>
              <w:left w:val="single" w:color="000000" w:sz="4" w:space="0"/>
              <w:bottom w:val="single" w:color="000000" w:sz="4" w:space="0"/>
              <w:right w:val="single" w:color="000000" w:sz="4" w:space="0"/>
            </w:tcBorders>
            <w:vAlign w:val="center"/>
          </w:tcPr>
          <w:p w14:paraId="6E87F3EC">
            <w:pPr>
              <w:widowControl/>
              <w:jc w:val="center"/>
              <w:textAlignment w:val="center"/>
              <w:rPr>
                <w:rFonts w:eastAsiaTheme="minorEastAsia"/>
                <w:color w:val="000000"/>
                <w:kern w:val="0"/>
                <w:szCs w:val="21"/>
                <w:lang w:bidi="ar"/>
              </w:rPr>
            </w:pPr>
            <w:r>
              <w:rPr>
                <w:color w:val="000000"/>
                <w:kern w:val="0"/>
                <w:szCs w:val="21"/>
                <w:lang w:bidi="ar"/>
              </w:rPr>
              <w:t>2</w:t>
            </w:r>
          </w:p>
        </w:tc>
        <w:tc>
          <w:tcPr>
            <w:tcW w:w="2992" w:type="dxa"/>
            <w:tcBorders>
              <w:top w:val="single" w:color="000000" w:sz="4" w:space="0"/>
              <w:left w:val="single" w:color="000000" w:sz="4" w:space="0"/>
              <w:bottom w:val="single" w:color="000000" w:sz="4" w:space="0"/>
              <w:right w:val="single" w:color="000000" w:sz="4" w:space="0"/>
            </w:tcBorders>
            <w:vAlign w:val="center"/>
          </w:tcPr>
          <w:p w14:paraId="3AB02B53">
            <w:pPr>
              <w:widowControl/>
              <w:jc w:val="center"/>
              <w:textAlignment w:val="center"/>
              <w:rPr>
                <w:color w:val="000000"/>
                <w:szCs w:val="21"/>
              </w:rPr>
            </w:pPr>
            <w:r>
              <w:rPr>
                <w:color w:val="000000"/>
                <w:kern w:val="0"/>
                <w:szCs w:val="21"/>
                <w:lang w:bidi="ar"/>
              </w:rPr>
              <w:t>特高频（UHF）局放监测设备</w:t>
            </w:r>
          </w:p>
        </w:tc>
        <w:tc>
          <w:tcPr>
            <w:tcW w:w="4158" w:type="dxa"/>
            <w:tcBorders>
              <w:top w:val="single" w:color="000000" w:sz="4" w:space="0"/>
              <w:left w:val="single" w:color="000000" w:sz="4" w:space="0"/>
              <w:bottom w:val="single" w:color="000000" w:sz="4" w:space="0"/>
              <w:right w:val="single" w:color="000000" w:sz="4" w:space="0"/>
            </w:tcBorders>
            <w:vAlign w:val="center"/>
          </w:tcPr>
          <w:p w14:paraId="665B9EAC">
            <w:pPr>
              <w:widowControl/>
              <w:textAlignment w:val="center"/>
              <w:rPr>
                <w:color w:val="000000"/>
                <w:kern w:val="0"/>
                <w:szCs w:val="21"/>
                <w:lang w:bidi="ar"/>
              </w:rPr>
            </w:pPr>
            <w:r>
              <w:rPr>
                <w:color w:val="000000"/>
                <w:kern w:val="0"/>
                <w:szCs w:val="21"/>
                <w:lang w:bidi="ar"/>
              </w:rPr>
              <w:t xml:space="preserve">通道数：支持 </w:t>
            </w:r>
            <w:r>
              <w:rPr>
                <w:rFonts w:hint="eastAsia"/>
                <w:color w:val="000000"/>
                <w:kern w:val="0"/>
                <w:szCs w:val="21"/>
                <w:lang w:bidi="ar"/>
              </w:rPr>
              <w:t>≥</w:t>
            </w:r>
            <w:r>
              <w:rPr>
                <w:color w:val="000000"/>
                <w:kern w:val="0"/>
                <w:szCs w:val="21"/>
                <w:lang w:bidi="ar"/>
              </w:rPr>
              <w:t>4路UHF同步接入（可选配超声波通道）；</w:t>
            </w:r>
          </w:p>
          <w:p w14:paraId="0E8FF1C9">
            <w:pPr>
              <w:widowControl/>
              <w:jc w:val="left"/>
              <w:textAlignment w:val="center"/>
              <w:rPr>
                <w:color w:val="000000"/>
                <w:kern w:val="0"/>
                <w:szCs w:val="21"/>
                <w:lang w:bidi="ar"/>
              </w:rPr>
            </w:pPr>
            <w:r>
              <w:rPr>
                <w:color w:val="000000"/>
                <w:kern w:val="0"/>
                <w:szCs w:val="21"/>
                <w:lang w:bidi="ar"/>
              </w:rPr>
              <w:t>同步方式：具备外同步（220V AC电源触发）</w:t>
            </w:r>
          </w:p>
          <w:p w14:paraId="121CF2A3">
            <w:pPr>
              <w:widowControl/>
              <w:jc w:val="left"/>
              <w:textAlignment w:val="center"/>
              <w:rPr>
                <w:color w:val="000000"/>
                <w:kern w:val="0"/>
                <w:szCs w:val="21"/>
                <w:lang w:bidi="ar"/>
              </w:rPr>
            </w:pPr>
            <w:r>
              <w:rPr>
                <w:rFonts w:hint="eastAsia"/>
                <w:color w:val="000000"/>
                <w:kern w:val="0"/>
                <w:szCs w:val="21"/>
                <w:lang w:bidi="ar"/>
              </w:rPr>
              <w:t>图谱记录：</w:t>
            </w:r>
            <w:r>
              <w:rPr>
                <w:color w:val="000000"/>
                <w:kern w:val="0"/>
                <w:szCs w:val="21"/>
                <w:lang w:bidi="ar"/>
              </w:rPr>
              <w:t>支持48h以上PRPD图谱累积</w:t>
            </w:r>
          </w:p>
          <w:p w14:paraId="27B32561">
            <w:pPr>
              <w:widowControl/>
              <w:jc w:val="left"/>
              <w:textAlignment w:val="center"/>
              <w:rPr>
                <w:color w:val="000000"/>
                <w:szCs w:val="21"/>
              </w:rPr>
            </w:pPr>
            <w:r>
              <w:rPr>
                <w:color w:val="000000"/>
                <w:kern w:val="0"/>
                <w:szCs w:val="21"/>
                <w:lang w:bidi="ar"/>
              </w:rPr>
              <w:t>检测频带：300-1500MHz</w:t>
            </w:r>
          </w:p>
        </w:tc>
      </w:tr>
      <w:tr w14:paraId="1C9CF33B">
        <w:tblPrEx>
          <w:tblCellMar>
            <w:top w:w="0" w:type="dxa"/>
            <w:left w:w="108" w:type="dxa"/>
            <w:bottom w:w="0" w:type="dxa"/>
            <w:right w:w="108" w:type="dxa"/>
          </w:tblCellMar>
        </w:tblPrEx>
        <w:trPr>
          <w:trHeight w:val="317" w:hRule="atLeast"/>
          <w:jc w:val="center"/>
        </w:trPr>
        <w:tc>
          <w:tcPr>
            <w:tcW w:w="706" w:type="dxa"/>
            <w:tcBorders>
              <w:top w:val="single" w:color="000000" w:sz="4" w:space="0"/>
              <w:left w:val="single" w:color="000000" w:sz="4" w:space="0"/>
              <w:bottom w:val="single" w:color="000000" w:sz="4" w:space="0"/>
              <w:right w:val="single" w:color="000000" w:sz="4" w:space="0"/>
            </w:tcBorders>
            <w:vAlign w:val="center"/>
          </w:tcPr>
          <w:p w14:paraId="7DB9A246">
            <w:pPr>
              <w:widowControl/>
              <w:jc w:val="center"/>
              <w:textAlignment w:val="center"/>
              <w:rPr>
                <w:rFonts w:eastAsiaTheme="minorEastAsia"/>
                <w:color w:val="000000"/>
                <w:kern w:val="0"/>
                <w:szCs w:val="21"/>
                <w:lang w:bidi="ar"/>
              </w:rPr>
            </w:pPr>
            <w:r>
              <w:rPr>
                <w:color w:val="000000"/>
                <w:kern w:val="0"/>
                <w:szCs w:val="21"/>
                <w:lang w:bidi="ar"/>
              </w:rPr>
              <w:t>3</w:t>
            </w:r>
          </w:p>
        </w:tc>
        <w:tc>
          <w:tcPr>
            <w:tcW w:w="2992" w:type="dxa"/>
            <w:tcBorders>
              <w:top w:val="single" w:color="000000" w:sz="4" w:space="0"/>
              <w:left w:val="single" w:color="000000" w:sz="4" w:space="0"/>
              <w:bottom w:val="single" w:color="000000" w:sz="4" w:space="0"/>
              <w:right w:val="single" w:color="000000" w:sz="4" w:space="0"/>
            </w:tcBorders>
            <w:vAlign w:val="center"/>
          </w:tcPr>
          <w:p w14:paraId="4E84F0B5">
            <w:pPr>
              <w:widowControl/>
              <w:jc w:val="center"/>
              <w:textAlignment w:val="center"/>
              <w:rPr>
                <w:color w:val="000000"/>
                <w:szCs w:val="21"/>
              </w:rPr>
            </w:pPr>
            <w:r>
              <w:rPr>
                <w:color w:val="000000"/>
                <w:kern w:val="0"/>
                <w:szCs w:val="21"/>
                <w:lang w:bidi="ar"/>
              </w:rPr>
              <w:t>超声波（AE）局放监测设备</w:t>
            </w:r>
          </w:p>
        </w:tc>
        <w:tc>
          <w:tcPr>
            <w:tcW w:w="4158" w:type="dxa"/>
            <w:tcBorders>
              <w:top w:val="single" w:color="000000" w:sz="4" w:space="0"/>
              <w:left w:val="single" w:color="000000" w:sz="4" w:space="0"/>
              <w:bottom w:val="single" w:color="000000" w:sz="4" w:space="0"/>
              <w:right w:val="single" w:color="000000" w:sz="4" w:space="0"/>
            </w:tcBorders>
            <w:vAlign w:val="center"/>
          </w:tcPr>
          <w:p w14:paraId="280DBE85">
            <w:pPr>
              <w:widowControl/>
              <w:jc w:val="left"/>
              <w:textAlignment w:val="center"/>
              <w:rPr>
                <w:color w:val="000000"/>
                <w:kern w:val="0"/>
                <w:szCs w:val="21"/>
                <w:lang w:bidi="ar"/>
              </w:rPr>
            </w:pPr>
            <w:r>
              <w:rPr>
                <w:color w:val="000000"/>
                <w:kern w:val="0"/>
                <w:szCs w:val="21"/>
                <w:lang w:bidi="ar"/>
              </w:rPr>
              <w:t>频响范围</w:t>
            </w:r>
            <w:r>
              <w:rPr>
                <w:rFonts w:hint="eastAsia"/>
                <w:color w:val="000000"/>
                <w:kern w:val="0"/>
                <w:szCs w:val="21"/>
                <w:lang w:bidi="ar"/>
              </w:rPr>
              <w:t>：</w:t>
            </w:r>
            <w:r>
              <w:rPr>
                <w:color w:val="000000"/>
                <w:kern w:val="0"/>
                <w:szCs w:val="21"/>
                <w:lang w:bidi="ar"/>
              </w:rPr>
              <w:t>20-300kHz</w:t>
            </w:r>
          </w:p>
          <w:p w14:paraId="54B797D5">
            <w:pPr>
              <w:widowControl/>
              <w:jc w:val="left"/>
              <w:textAlignment w:val="center"/>
              <w:rPr>
                <w:color w:val="000000"/>
                <w:kern w:val="0"/>
                <w:szCs w:val="21"/>
                <w:lang w:bidi="ar"/>
              </w:rPr>
            </w:pPr>
            <w:r>
              <w:rPr>
                <w:rFonts w:hint="eastAsia"/>
                <w:color w:val="000000"/>
                <w:kern w:val="0"/>
                <w:szCs w:val="21"/>
                <w:lang w:bidi="ar"/>
              </w:rPr>
              <w:t>采样频率：1MHz</w:t>
            </w:r>
          </w:p>
        </w:tc>
      </w:tr>
      <w:tr w14:paraId="307048C7">
        <w:tblPrEx>
          <w:tblCellMar>
            <w:top w:w="0" w:type="dxa"/>
            <w:left w:w="108" w:type="dxa"/>
            <w:bottom w:w="0" w:type="dxa"/>
            <w:right w:w="108" w:type="dxa"/>
          </w:tblCellMar>
        </w:tblPrEx>
        <w:trPr>
          <w:trHeight w:val="577" w:hRule="atLeast"/>
          <w:jc w:val="center"/>
        </w:trPr>
        <w:tc>
          <w:tcPr>
            <w:tcW w:w="706" w:type="dxa"/>
            <w:tcBorders>
              <w:top w:val="single" w:color="000000" w:sz="4" w:space="0"/>
              <w:left w:val="single" w:color="000000" w:sz="4" w:space="0"/>
              <w:bottom w:val="single" w:color="000000" w:sz="4" w:space="0"/>
              <w:right w:val="single" w:color="000000" w:sz="4" w:space="0"/>
            </w:tcBorders>
            <w:vAlign w:val="center"/>
          </w:tcPr>
          <w:p w14:paraId="07F563C5">
            <w:pPr>
              <w:widowControl/>
              <w:jc w:val="center"/>
              <w:textAlignment w:val="center"/>
              <w:rPr>
                <w:rFonts w:eastAsiaTheme="minorEastAsia"/>
                <w:color w:val="000000"/>
                <w:kern w:val="0"/>
                <w:szCs w:val="21"/>
                <w:lang w:bidi="ar"/>
              </w:rPr>
            </w:pPr>
            <w:r>
              <w:rPr>
                <w:color w:val="000000"/>
                <w:kern w:val="0"/>
                <w:szCs w:val="21"/>
                <w:lang w:bidi="ar"/>
              </w:rPr>
              <w:t>4</w:t>
            </w:r>
          </w:p>
        </w:tc>
        <w:tc>
          <w:tcPr>
            <w:tcW w:w="2992" w:type="dxa"/>
            <w:tcBorders>
              <w:top w:val="single" w:color="000000" w:sz="4" w:space="0"/>
              <w:left w:val="single" w:color="000000" w:sz="4" w:space="0"/>
              <w:bottom w:val="single" w:color="000000" w:sz="4" w:space="0"/>
              <w:right w:val="single" w:color="000000" w:sz="4" w:space="0"/>
            </w:tcBorders>
            <w:vAlign w:val="center"/>
          </w:tcPr>
          <w:p w14:paraId="3BE9A1C4">
            <w:pPr>
              <w:widowControl/>
              <w:jc w:val="center"/>
              <w:textAlignment w:val="center"/>
              <w:rPr>
                <w:color w:val="000000"/>
                <w:szCs w:val="21"/>
              </w:rPr>
            </w:pPr>
            <w:r>
              <w:rPr>
                <w:color w:val="000000"/>
                <w:kern w:val="0"/>
                <w:szCs w:val="21"/>
                <w:lang w:bidi="ar"/>
              </w:rPr>
              <w:t>GI</w:t>
            </w:r>
            <w:r>
              <w:rPr>
                <w:rFonts w:hint="eastAsia"/>
                <w:color w:val="000000"/>
                <w:kern w:val="0"/>
                <w:szCs w:val="21"/>
                <w:lang w:bidi="ar"/>
              </w:rPr>
              <w:t>L</w:t>
            </w:r>
            <w:r>
              <w:rPr>
                <w:color w:val="000000"/>
                <w:kern w:val="0"/>
                <w:szCs w:val="21"/>
                <w:lang w:bidi="ar"/>
              </w:rPr>
              <w:t>试验段（含电源）</w:t>
            </w:r>
          </w:p>
        </w:tc>
        <w:tc>
          <w:tcPr>
            <w:tcW w:w="4158" w:type="dxa"/>
            <w:tcBorders>
              <w:top w:val="single" w:color="000000" w:sz="4" w:space="0"/>
              <w:left w:val="single" w:color="000000" w:sz="4" w:space="0"/>
              <w:bottom w:val="single" w:color="000000" w:sz="4" w:space="0"/>
              <w:right w:val="single" w:color="000000" w:sz="4" w:space="0"/>
            </w:tcBorders>
            <w:vAlign w:val="center"/>
          </w:tcPr>
          <w:p w14:paraId="445784FC">
            <w:pPr>
              <w:widowControl/>
              <w:jc w:val="left"/>
              <w:textAlignment w:val="center"/>
              <w:rPr>
                <w:color w:val="000000"/>
                <w:kern w:val="0"/>
                <w:szCs w:val="21"/>
                <w:lang w:bidi="ar"/>
              </w:rPr>
            </w:pPr>
            <w:r>
              <w:rPr>
                <w:color w:val="000000"/>
                <w:kern w:val="0"/>
                <w:szCs w:val="21"/>
                <w:lang w:bidi="ar"/>
              </w:rPr>
              <w:t>交流电源频率</w:t>
            </w:r>
            <w:r>
              <w:rPr>
                <w:rFonts w:hint="eastAsia"/>
                <w:color w:val="000000"/>
                <w:kern w:val="0"/>
                <w:szCs w:val="21"/>
                <w:lang w:bidi="ar"/>
              </w:rPr>
              <w:t>：</w:t>
            </w:r>
            <w:r>
              <w:rPr>
                <w:color w:val="000000"/>
                <w:kern w:val="0"/>
                <w:szCs w:val="21"/>
                <w:lang w:bidi="ar"/>
              </w:rPr>
              <w:t>50Hz</w:t>
            </w:r>
          </w:p>
          <w:p w14:paraId="42E49396">
            <w:pPr>
              <w:widowControl/>
              <w:jc w:val="left"/>
              <w:textAlignment w:val="center"/>
              <w:rPr>
                <w:color w:val="000000"/>
                <w:kern w:val="0"/>
                <w:szCs w:val="21"/>
                <w:lang w:bidi="ar"/>
              </w:rPr>
            </w:pPr>
            <w:r>
              <w:rPr>
                <w:rFonts w:hint="eastAsia"/>
                <w:color w:val="000000"/>
                <w:kern w:val="0"/>
                <w:szCs w:val="21"/>
                <w:lang w:bidi="ar"/>
              </w:rPr>
              <w:t>输出</w:t>
            </w:r>
            <w:r>
              <w:rPr>
                <w:color w:val="000000"/>
                <w:kern w:val="0"/>
                <w:szCs w:val="21"/>
                <w:lang w:bidi="ar"/>
              </w:rPr>
              <w:t>电压</w:t>
            </w:r>
            <w:r>
              <w:rPr>
                <w:rFonts w:hint="eastAsia"/>
                <w:color w:val="000000"/>
                <w:kern w:val="0"/>
                <w:szCs w:val="21"/>
                <w:lang w:bidi="ar"/>
              </w:rPr>
              <w:t>：</w:t>
            </w:r>
            <w:r>
              <w:rPr>
                <w:color w:val="000000"/>
                <w:kern w:val="0"/>
                <w:szCs w:val="21"/>
                <w:lang w:bidi="ar"/>
              </w:rPr>
              <w:t>0-</w:t>
            </w:r>
            <w:r>
              <w:rPr>
                <w:rFonts w:hint="eastAsia"/>
                <w:color w:val="000000"/>
                <w:kern w:val="0"/>
                <w:szCs w:val="21"/>
                <w:lang w:bidi="ar"/>
              </w:rPr>
              <w:t>100</w:t>
            </w:r>
            <w:r>
              <w:rPr>
                <w:color w:val="000000"/>
                <w:kern w:val="0"/>
                <w:szCs w:val="21"/>
                <w:lang w:bidi="ar"/>
              </w:rPr>
              <w:t>0kV可调</w:t>
            </w:r>
          </w:p>
          <w:p w14:paraId="6BAE89A5">
            <w:pPr>
              <w:widowControl/>
              <w:jc w:val="left"/>
              <w:textAlignment w:val="center"/>
              <w:rPr>
                <w:color w:val="000000"/>
                <w:szCs w:val="21"/>
              </w:rPr>
            </w:pPr>
            <w:r>
              <w:rPr>
                <w:rFonts w:hint="eastAsia"/>
                <w:color w:val="000000"/>
                <w:kern w:val="0"/>
                <w:szCs w:val="21"/>
                <w:lang w:bidi="ar"/>
              </w:rPr>
              <w:t>背景噪声：</w:t>
            </w:r>
            <w:r>
              <w:rPr>
                <w:color w:val="000000"/>
                <w:kern w:val="0"/>
                <w:szCs w:val="21"/>
                <w:lang w:bidi="ar"/>
              </w:rPr>
              <w:t>局部放电量</w:t>
            </w:r>
            <w:r>
              <w:rPr>
                <w:rFonts w:hint="eastAsia"/>
                <w:color w:val="000000"/>
                <w:kern w:val="0"/>
                <w:szCs w:val="21"/>
                <w:lang w:bidi="ar"/>
              </w:rPr>
              <w:t>小于</w:t>
            </w:r>
            <w:r>
              <w:rPr>
                <w:color w:val="000000"/>
                <w:kern w:val="0"/>
                <w:szCs w:val="21"/>
                <w:lang w:bidi="ar"/>
              </w:rPr>
              <w:t>2pC</w:t>
            </w:r>
          </w:p>
        </w:tc>
      </w:tr>
      <w:tr w14:paraId="22D4C868">
        <w:tblPrEx>
          <w:tblCellMar>
            <w:top w:w="0" w:type="dxa"/>
            <w:left w:w="108" w:type="dxa"/>
            <w:bottom w:w="0" w:type="dxa"/>
            <w:right w:w="108" w:type="dxa"/>
          </w:tblCellMar>
        </w:tblPrEx>
        <w:trPr>
          <w:trHeight w:val="577" w:hRule="atLeast"/>
          <w:jc w:val="center"/>
        </w:trPr>
        <w:tc>
          <w:tcPr>
            <w:tcW w:w="706" w:type="dxa"/>
            <w:tcBorders>
              <w:top w:val="single" w:color="000000" w:sz="4" w:space="0"/>
              <w:left w:val="single" w:color="000000" w:sz="4" w:space="0"/>
              <w:bottom w:val="single" w:color="000000" w:sz="4" w:space="0"/>
              <w:right w:val="single" w:color="000000" w:sz="4" w:space="0"/>
            </w:tcBorders>
            <w:vAlign w:val="center"/>
          </w:tcPr>
          <w:p w14:paraId="0E516E17">
            <w:pPr>
              <w:widowControl/>
              <w:jc w:val="center"/>
              <w:textAlignment w:val="center"/>
              <w:rPr>
                <w:rFonts w:eastAsiaTheme="minorEastAsia"/>
                <w:color w:val="000000"/>
                <w:kern w:val="0"/>
                <w:szCs w:val="21"/>
                <w:lang w:bidi="ar"/>
              </w:rPr>
            </w:pPr>
            <w:r>
              <w:rPr>
                <w:color w:val="000000"/>
                <w:kern w:val="0"/>
                <w:szCs w:val="21"/>
                <w:lang w:bidi="ar"/>
              </w:rPr>
              <w:t>5</w:t>
            </w:r>
          </w:p>
        </w:tc>
        <w:tc>
          <w:tcPr>
            <w:tcW w:w="2992" w:type="dxa"/>
            <w:tcBorders>
              <w:top w:val="single" w:color="000000" w:sz="4" w:space="0"/>
              <w:left w:val="single" w:color="000000" w:sz="4" w:space="0"/>
              <w:bottom w:val="single" w:color="000000" w:sz="4" w:space="0"/>
              <w:right w:val="single" w:color="000000" w:sz="4" w:space="0"/>
            </w:tcBorders>
            <w:vAlign w:val="center"/>
          </w:tcPr>
          <w:p w14:paraId="54372391">
            <w:pPr>
              <w:widowControl/>
              <w:jc w:val="center"/>
              <w:textAlignment w:val="center"/>
              <w:rPr>
                <w:color w:val="000000"/>
                <w:szCs w:val="21"/>
              </w:rPr>
            </w:pPr>
            <w:r>
              <w:rPr>
                <w:color w:val="000000"/>
                <w:kern w:val="0"/>
                <w:szCs w:val="21"/>
                <w:lang w:bidi="ar"/>
              </w:rPr>
              <w:t>SF</w:t>
            </w:r>
            <w:r>
              <w:rPr>
                <w:color w:val="000000"/>
                <w:kern w:val="0"/>
                <w:szCs w:val="21"/>
                <w:vertAlign w:val="subscript"/>
                <w:lang w:bidi="ar"/>
              </w:rPr>
              <w:t>6</w:t>
            </w:r>
            <w:r>
              <w:rPr>
                <w:color w:val="000000"/>
                <w:kern w:val="0"/>
                <w:szCs w:val="21"/>
                <w:lang w:bidi="ar"/>
              </w:rPr>
              <w:t>气体充装/回收设备</w:t>
            </w:r>
          </w:p>
        </w:tc>
        <w:tc>
          <w:tcPr>
            <w:tcW w:w="4158" w:type="dxa"/>
            <w:tcBorders>
              <w:top w:val="single" w:color="000000" w:sz="4" w:space="0"/>
              <w:left w:val="single" w:color="000000" w:sz="4" w:space="0"/>
              <w:bottom w:val="single" w:color="000000" w:sz="4" w:space="0"/>
              <w:right w:val="single" w:color="000000" w:sz="4" w:space="0"/>
            </w:tcBorders>
            <w:vAlign w:val="center"/>
          </w:tcPr>
          <w:p w14:paraId="649212E4">
            <w:pPr>
              <w:widowControl/>
              <w:textAlignment w:val="center"/>
              <w:rPr>
                <w:color w:val="000000"/>
                <w:kern w:val="0"/>
                <w:szCs w:val="21"/>
                <w:lang w:bidi="ar"/>
              </w:rPr>
            </w:pPr>
            <w:r>
              <w:rPr>
                <w:rFonts w:hint="eastAsia"/>
                <w:color w:val="000000"/>
                <w:kern w:val="0"/>
                <w:szCs w:val="21"/>
                <w:lang w:bidi="ar"/>
              </w:rPr>
              <w:t>气体</w:t>
            </w:r>
            <w:r>
              <w:rPr>
                <w:color w:val="000000"/>
                <w:kern w:val="0"/>
                <w:szCs w:val="21"/>
                <w:lang w:bidi="ar"/>
              </w:rPr>
              <w:t>纯度</w:t>
            </w:r>
            <w:r>
              <w:rPr>
                <w:rFonts w:hint="eastAsia"/>
                <w:color w:val="000000"/>
                <w:kern w:val="0"/>
                <w:szCs w:val="21"/>
                <w:lang w:bidi="ar"/>
              </w:rPr>
              <w:t>：</w:t>
            </w:r>
            <w:r>
              <w:rPr>
                <w:color w:val="000000"/>
                <w:kern w:val="0"/>
                <w:szCs w:val="21"/>
                <w:lang w:bidi="ar"/>
              </w:rPr>
              <w:t>≥99.9%</w:t>
            </w:r>
          </w:p>
          <w:p w14:paraId="4944C24F">
            <w:pPr>
              <w:widowControl/>
              <w:textAlignment w:val="center"/>
              <w:rPr>
                <w:color w:val="000000"/>
                <w:kern w:val="0"/>
                <w:szCs w:val="21"/>
                <w:lang w:bidi="ar"/>
              </w:rPr>
            </w:pPr>
            <w:r>
              <w:rPr>
                <w:rFonts w:hint="eastAsia"/>
                <w:color w:val="000000"/>
                <w:kern w:val="0"/>
                <w:szCs w:val="21"/>
                <w:lang w:bidi="ar"/>
              </w:rPr>
              <w:t>充气压力范围：</w:t>
            </w:r>
            <w:r>
              <w:rPr>
                <w:color w:val="000000"/>
                <w:kern w:val="0"/>
                <w:szCs w:val="21"/>
                <w:lang w:bidi="ar"/>
              </w:rPr>
              <w:t>0.45-0.6MPa</w:t>
            </w:r>
          </w:p>
          <w:p w14:paraId="13EACADC">
            <w:pPr>
              <w:widowControl/>
              <w:textAlignment w:val="center"/>
              <w:rPr>
                <w:color w:val="000000"/>
                <w:szCs w:val="21"/>
              </w:rPr>
            </w:pPr>
            <w:r>
              <w:rPr>
                <w:color w:val="000000"/>
                <w:kern w:val="0"/>
                <w:szCs w:val="21"/>
                <w:lang w:bidi="ar"/>
              </w:rPr>
              <w:t>回收率</w:t>
            </w:r>
            <w:r>
              <w:rPr>
                <w:rFonts w:hint="eastAsia"/>
                <w:color w:val="000000"/>
                <w:kern w:val="0"/>
                <w:szCs w:val="21"/>
                <w:lang w:bidi="ar"/>
              </w:rPr>
              <w:t>：</w:t>
            </w:r>
            <w:r>
              <w:rPr>
                <w:color w:val="000000"/>
                <w:kern w:val="0"/>
                <w:szCs w:val="21"/>
                <w:lang w:bidi="ar"/>
              </w:rPr>
              <w:t>&gt;95%</w:t>
            </w:r>
          </w:p>
        </w:tc>
      </w:tr>
      <w:tr w14:paraId="6E00F7F1">
        <w:tblPrEx>
          <w:tblCellMar>
            <w:top w:w="0" w:type="dxa"/>
            <w:left w:w="108" w:type="dxa"/>
            <w:bottom w:w="0" w:type="dxa"/>
            <w:right w:w="108" w:type="dxa"/>
          </w:tblCellMar>
        </w:tblPrEx>
        <w:trPr>
          <w:trHeight w:val="586" w:hRule="atLeast"/>
          <w:jc w:val="center"/>
        </w:trPr>
        <w:tc>
          <w:tcPr>
            <w:tcW w:w="706" w:type="dxa"/>
            <w:tcBorders>
              <w:top w:val="single" w:color="000000" w:sz="4" w:space="0"/>
              <w:left w:val="single" w:color="000000" w:sz="4" w:space="0"/>
              <w:bottom w:val="single" w:color="000000" w:sz="4" w:space="0"/>
              <w:right w:val="single" w:color="000000" w:sz="4" w:space="0"/>
            </w:tcBorders>
            <w:vAlign w:val="center"/>
          </w:tcPr>
          <w:p w14:paraId="20A4456A">
            <w:pPr>
              <w:widowControl/>
              <w:jc w:val="center"/>
              <w:textAlignment w:val="center"/>
              <w:rPr>
                <w:rFonts w:eastAsiaTheme="minorEastAsia"/>
                <w:szCs w:val="21"/>
              </w:rPr>
            </w:pPr>
            <w:r>
              <w:rPr>
                <w:szCs w:val="21"/>
              </w:rPr>
              <w:t>6</w:t>
            </w:r>
          </w:p>
        </w:tc>
        <w:tc>
          <w:tcPr>
            <w:tcW w:w="2992" w:type="dxa"/>
            <w:tcBorders>
              <w:top w:val="single" w:color="000000" w:sz="4" w:space="0"/>
              <w:left w:val="single" w:color="000000" w:sz="4" w:space="0"/>
              <w:bottom w:val="single" w:color="000000" w:sz="4" w:space="0"/>
              <w:right w:val="single" w:color="000000" w:sz="4" w:space="0"/>
            </w:tcBorders>
            <w:vAlign w:val="center"/>
          </w:tcPr>
          <w:p w14:paraId="1C1C419C">
            <w:pPr>
              <w:widowControl/>
              <w:jc w:val="center"/>
              <w:textAlignment w:val="center"/>
              <w:rPr>
                <w:color w:val="000000"/>
                <w:kern w:val="0"/>
                <w:szCs w:val="21"/>
                <w:lang w:bidi="ar"/>
              </w:rPr>
            </w:pPr>
            <w:r>
              <w:rPr>
                <w:rFonts w:hint="eastAsia"/>
                <w:szCs w:val="21"/>
              </w:rPr>
              <w:t>高频脉冲</w:t>
            </w:r>
            <w:r>
              <w:rPr>
                <w:szCs w:val="21"/>
              </w:rPr>
              <w:t>局部放电测量仪</w:t>
            </w:r>
          </w:p>
        </w:tc>
        <w:tc>
          <w:tcPr>
            <w:tcW w:w="4158" w:type="dxa"/>
            <w:tcBorders>
              <w:top w:val="single" w:color="000000" w:sz="4" w:space="0"/>
              <w:left w:val="single" w:color="000000" w:sz="4" w:space="0"/>
              <w:bottom w:val="single" w:color="000000" w:sz="4" w:space="0"/>
              <w:right w:val="single" w:color="000000" w:sz="4" w:space="0"/>
            </w:tcBorders>
            <w:vAlign w:val="center"/>
          </w:tcPr>
          <w:p w14:paraId="33874A81">
            <w:pPr>
              <w:widowControl/>
              <w:textAlignment w:val="center"/>
              <w:rPr>
                <w:szCs w:val="21"/>
              </w:rPr>
            </w:pPr>
            <w:r>
              <w:rPr>
                <w:szCs w:val="21"/>
              </w:rPr>
              <w:t>符合 IEC 60270 标准；</w:t>
            </w:r>
          </w:p>
          <w:p w14:paraId="1DF2439E">
            <w:pPr>
              <w:widowControl/>
              <w:textAlignment w:val="center"/>
              <w:rPr>
                <w:szCs w:val="21"/>
              </w:rPr>
            </w:pPr>
            <w:r>
              <w:rPr>
                <w:szCs w:val="21"/>
              </w:rPr>
              <w:t>测量范围</w:t>
            </w:r>
            <w:r>
              <w:rPr>
                <w:rFonts w:hint="eastAsia"/>
                <w:szCs w:val="21"/>
              </w:rPr>
              <w:t>：</w:t>
            </w:r>
            <w:r>
              <w:rPr>
                <w:szCs w:val="21"/>
              </w:rPr>
              <w:t>0~1000pC</w:t>
            </w:r>
          </w:p>
          <w:p w14:paraId="7B51D1B5">
            <w:pPr>
              <w:widowControl/>
              <w:jc w:val="left"/>
              <w:textAlignment w:val="center"/>
              <w:rPr>
                <w:szCs w:val="21"/>
              </w:rPr>
            </w:pPr>
            <w:r>
              <w:rPr>
                <w:szCs w:val="21"/>
              </w:rPr>
              <w:t>测量误差</w:t>
            </w:r>
            <w:r>
              <w:rPr>
                <w:rFonts w:hint="eastAsia"/>
                <w:szCs w:val="21"/>
              </w:rPr>
              <w:t>：</w:t>
            </w:r>
            <w:r>
              <w:rPr>
                <w:szCs w:val="21"/>
              </w:rPr>
              <w:t>≤3%（或 $\pm$ 1 pC，取较大者）</w:t>
            </w:r>
          </w:p>
        </w:tc>
      </w:tr>
    </w:tbl>
    <w:p w14:paraId="2D6E67E6"/>
    <w:p w14:paraId="3E97833D">
      <w:pPr>
        <w:pStyle w:val="34"/>
        <w:numPr>
          <w:ilvl w:val="0"/>
          <w:numId w:val="0"/>
        </w:numPr>
      </w:pPr>
      <w:r>
        <w:rPr>
          <w:rFonts w:hint="eastAsia"/>
        </w:rPr>
        <w:t>A.2 试验流程</w:t>
      </w:r>
    </w:p>
    <w:p w14:paraId="435AED9D">
      <w:pPr>
        <w:pStyle w:val="17"/>
      </w:pPr>
      <w:r>
        <w:rPr>
          <w:rFonts w:hint="eastAsia"/>
        </w:rPr>
        <w:t>A.2.1 试验准备与校准</w:t>
      </w:r>
    </w:p>
    <w:p w14:paraId="3E7A3056">
      <w:pPr>
        <w:pStyle w:val="17"/>
      </w:pPr>
      <w:r>
        <w:rPr>
          <w:rFonts w:hint="eastAsia"/>
        </w:rPr>
        <w:t xml:space="preserve">试验开始前，应按以下步骤进行准备与校准： </w:t>
      </w:r>
    </w:p>
    <w:p w14:paraId="2F6AD149">
      <w:pPr>
        <w:pStyle w:val="17"/>
      </w:pPr>
      <w:r>
        <w:rPr>
          <w:rFonts w:hint="eastAsia"/>
        </w:rPr>
        <w:t xml:space="preserve">a) 系统连接：按GB/T 7354要求连接试验回路，确保接地良好。 </w:t>
      </w:r>
    </w:p>
    <w:p w14:paraId="513BCED1">
      <w:pPr>
        <w:pStyle w:val="17"/>
      </w:pPr>
      <w:r>
        <w:rPr>
          <w:rFonts w:hint="eastAsia"/>
        </w:rPr>
        <w:t xml:space="preserve">b) 灵敏度校准：使用标准脉冲发生器在试品两端注入标准电荷（如5 pC或10 pC），校验脉冲电流法仪器的灵敏度和线性度；同时检查UHF及AE传感器的响应情况。 </w:t>
      </w:r>
    </w:p>
    <w:p w14:paraId="5DCCE7BC">
      <w:pPr>
        <w:pStyle w:val="17"/>
      </w:pPr>
      <w:r>
        <w:rPr>
          <w:rFonts w:hint="eastAsia"/>
        </w:rPr>
        <w:t>c) 背景噪声抑制：对特高频传感器采取屏蔽措施，消除外部干扰。在未加压状态下，要求 UHF 检测频带内的背景噪声基底低于-70 dBm；</w:t>
      </w:r>
    </w:p>
    <w:p w14:paraId="6E633E4A">
      <w:pPr>
        <w:pStyle w:val="17"/>
        <w:rPr>
          <w:b/>
          <w:bCs/>
        </w:rPr>
      </w:pPr>
      <w:r>
        <w:rPr>
          <w:rFonts w:hint="eastAsia"/>
        </w:rPr>
        <w:t xml:space="preserve">A.2.2 </w:t>
      </w:r>
      <w:r>
        <w:t>试验环境控制</w:t>
      </w:r>
    </w:p>
    <w:p w14:paraId="621489AB">
      <w:pPr>
        <w:pStyle w:val="17"/>
      </w:pPr>
      <w:r>
        <w:rPr>
          <w:rFonts w:hint="eastAsia"/>
        </w:rPr>
        <w:t>实验过程中，气室内的SF6气体压力应保持在0.5MPa恒定。</w:t>
      </w:r>
      <w:r>
        <w:t>实时记录实验室环境温度、相对湿度及大气压力。</w:t>
      </w:r>
    </w:p>
    <w:p w14:paraId="4760BA2C">
      <w:pPr>
        <w:pStyle w:val="17"/>
      </w:pPr>
      <w:r>
        <w:rPr>
          <w:rFonts w:hint="eastAsia"/>
        </w:rPr>
        <w:t>A.2.3 加压程序</w:t>
      </w:r>
    </w:p>
    <w:p w14:paraId="59E72492">
      <w:pPr>
        <w:ind w:firstLine="420" w:firstLineChars="200"/>
        <w:rPr>
          <w:rFonts w:cs="宋体"/>
          <w:szCs w:val="21"/>
          <w:lang w:bidi="ar"/>
        </w:rPr>
      </w:pPr>
      <w:r>
        <w:rPr>
          <w:rFonts w:hint="eastAsia" w:cs="宋体"/>
          <w:szCs w:val="21"/>
          <w:lang w:bidi="ar"/>
        </w:rPr>
        <w:t>本次试验适用于 500 kV 电压等级 GIL 盆式绝缘子。定义系统标称电压 Un = 500 kV，设备最高电压（额定电压） Ur = 550kV，相电压U</w:t>
      </w:r>
      <w:r>
        <w:rPr>
          <w:rFonts w:hint="eastAsia" w:cs="宋体"/>
          <w:szCs w:val="21"/>
          <w:vertAlign w:val="subscript"/>
          <w:lang w:bidi="ar"/>
        </w:rPr>
        <w:t>0</w:t>
      </w:r>
      <w:r>
        <w:rPr>
          <w:rFonts w:hint="eastAsia" w:cs="宋体"/>
          <w:szCs w:val="21"/>
          <w:lang w:bidi="ar"/>
        </w:rPr>
        <w:t xml:space="preserve"> = Un /</w:t>
      </w:r>
      <w:r>
        <w:rPr>
          <w:szCs w:val="21"/>
          <w:lang w:bidi="ar"/>
        </w:rPr>
        <w:t>√3</w:t>
      </w:r>
      <w:r>
        <w:rPr>
          <w:rFonts w:hint="eastAsia"/>
          <w:szCs w:val="21"/>
          <w:lang w:bidi="ar"/>
        </w:rPr>
        <w:t>≈</w:t>
      </w:r>
      <w:r>
        <w:rPr>
          <w:rFonts w:hint="eastAsia" w:cs="宋体"/>
          <w:szCs w:val="21"/>
          <w:lang w:bidi="ar"/>
        </w:rPr>
        <w:t xml:space="preserve">288 kV。  </w:t>
      </w:r>
    </w:p>
    <w:p w14:paraId="2F7F8707">
      <w:pPr>
        <w:ind w:firstLine="420" w:firstLineChars="200"/>
        <w:rPr>
          <w:rFonts w:cs="宋体"/>
          <w:szCs w:val="21"/>
          <w:lang w:bidi="ar"/>
        </w:rPr>
      </w:pPr>
      <w:r>
        <w:rPr>
          <w:rFonts w:hint="eastAsia" w:cs="宋体"/>
          <w:szCs w:val="21"/>
          <w:lang w:bidi="ar"/>
        </w:rPr>
        <w:t>试验加压程序如表A.2所示。升压速度应均匀，一般在2 kV/s ~ 5 kV/s之间。</w:t>
      </w:r>
      <w:r>
        <w:rPr>
          <w:rFonts w:cs="宋体"/>
          <w:szCs w:val="21"/>
          <w:lang w:bidi="ar"/>
        </w:rPr>
        <w:t xml:space="preserve">对于高风险缺陷（如长尺寸金属丝、沿面导电杂质），在电压超过 </w:t>
      </w:r>
      <w:r>
        <w:rPr>
          <w:rFonts w:hint="eastAsia" w:cs="宋体"/>
          <w:szCs w:val="21"/>
          <w:lang w:bidi="ar"/>
        </w:rPr>
        <w:t>Ur /</w:t>
      </w:r>
      <w:r>
        <w:rPr>
          <w:szCs w:val="21"/>
          <w:lang w:bidi="ar"/>
        </w:rPr>
        <w:t>√3</w:t>
      </w:r>
      <w:r>
        <w:rPr>
          <w:rFonts w:cs="宋体"/>
          <w:szCs w:val="21"/>
          <w:lang w:bidi="ar"/>
        </w:rPr>
        <w:t>后，应适当降低升压梯度</w:t>
      </w:r>
      <w:r>
        <w:rPr>
          <w:rFonts w:hint="eastAsia" w:cs="宋体"/>
          <w:szCs w:val="21"/>
          <w:lang w:bidi="ar"/>
        </w:rPr>
        <w:t>。</w:t>
      </w:r>
      <w:r>
        <w:rPr>
          <w:rFonts w:cs="宋体"/>
          <w:szCs w:val="21"/>
          <w:lang w:bidi="ar"/>
        </w:rPr>
        <w:t>若试验过程中发生击穿，应立即切断电源，记录击穿电压值及击穿时刻的局放特征</w:t>
      </w:r>
      <w:r>
        <w:rPr>
          <w:rFonts w:hint="eastAsia" w:cs="宋体"/>
          <w:szCs w:val="21"/>
          <w:lang w:bidi="ar"/>
        </w:rPr>
        <w:t>。</w:t>
      </w:r>
    </w:p>
    <w:p w14:paraId="606B197B">
      <w:pPr>
        <w:pStyle w:val="21"/>
        <w:spacing w:beforeAutospacing="0" w:afterAutospacing="0" w:line="360" w:lineRule="auto"/>
        <w:jc w:val="center"/>
      </w:pPr>
      <w:r>
        <w:rPr>
          <w:rFonts w:hint="eastAsia" w:ascii="Arial" w:hAnsi="Arial" w:eastAsia="黑体" w:cs="黑体"/>
          <w:kern w:val="2"/>
          <w:sz w:val="20"/>
          <w:lang w:bidi="ar"/>
        </w:rPr>
        <w:t>表</w:t>
      </w:r>
      <w:r>
        <w:rPr>
          <w:rFonts w:hint="eastAsia" w:ascii="Arial" w:hAnsi="Arial" w:eastAsia="黑体"/>
          <w:kern w:val="2"/>
          <w:sz w:val="20"/>
          <w:lang w:bidi="ar"/>
        </w:rPr>
        <w:t>A.2</w:t>
      </w:r>
      <w:r>
        <w:rPr>
          <w:rFonts w:hint="eastAsia" w:ascii="Arial" w:hAnsi="Arial" w:eastAsia="黑体" w:cs="黑体"/>
          <w:kern w:val="2"/>
          <w:sz w:val="20"/>
          <w:lang w:bidi="ar"/>
        </w:rPr>
        <w:t>试验加压程序</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7"/>
        <w:gridCol w:w="1400"/>
        <w:gridCol w:w="2126"/>
        <w:gridCol w:w="4490"/>
      </w:tblGrid>
      <w:tr w14:paraId="3D61C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 w:hRule="atLeast"/>
          <w:jc w:val="center"/>
        </w:trPr>
        <w:tc>
          <w:tcPr>
            <w:tcW w:w="1147" w:type="dxa"/>
            <w:tcBorders>
              <w:top w:val="single" w:color="auto" w:sz="4" w:space="0"/>
              <w:left w:val="single" w:color="auto" w:sz="4" w:space="0"/>
              <w:bottom w:val="single" w:color="auto" w:sz="4" w:space="0"/>
              <w:right w:val="single" w:color="auto" w:sz="4" w:space="0"/>
            </w:tcBorders>
            <w:shd w:val="clear" w:color="auto" w:fill="auto"/>
            <w:vAlign w:val="center"/>
          </w:tcPr>
          <w:p w14:paraId="5346A363">
            <w:pPr>
              <w:spacing w:line="360" w:lineRule="auto"/>
              <w:jc w:val="center"/>
              <w:rPr>
                <w:rFonts w:ascii="宋体"/>
                <w:szCs w:val="21"/>
              </w:rPr>
            </w:pPr>
            <w:r>
              <w:rPr>
                <w:rFonts w:hint="eastAsia" w:ascii="宋体" w:cs="宋体"/>
                <w:szCs w:val="21"/>
                <w:lang w:bidi="ar"/>
              </w:rPr>
              <w:t>阶段</w:t>
            </w:r>
          </w:p>
        </w:tc>
        <w:tc>
          <w:tcPr>
            <w:tcW w:w="1400" w:type="dxa"/>
            <w:tcBorders>
              <w:top w:val="single" w:color="auto" w:sz="4" w:space="0"/>
              <w:left w:val="single" w:color="auto" w:sz="4" w:space="0"/>
              <w:bottom w:val="single" w:color="auto" w:sz="4" w:space="0"/>
              <w:right w:val="single" w:color="auto" w:sz="4" w:space="0"/>
            </w:tcBorders>
            <w:shd w:val="clear" w:color="auto" w:fill="auto"/>
            <w:vAlign w:val="center"/>
          </w:tcPr>
          <w:p w14:paraId="2D7C98A6">
            <w:pPr>
              <w:spacing w:line="360" w:lineRule="auto"/>
              <w:jc w:val="center"/>
              <w:rPr>
                <w:rFonts w:ascii="宋体"/>
                <w:szCs w:val="21"/>
              </w:rPr>
            </w:pPr>
            <w:r>
              <w:rPr>
                <w:rFonts w:hint="eastAsia" w:ascii="宋体" w:cs="宋体"/>
                <w:szCs w:val="21"/>
                <w:lang w:bidi="ar"/>
              </w:rPr>
              <w:t>电压倍数</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EDB66FF">
            <w:pPr>
              <w:spacing w:line="360" w:lineRule="auto"/>
              <w:jc w:val="center"/>
              <w:rPr>
                <w:rFonts w:ascii="宋体"/>
                <w:szCs w:val="21"/>
              </w:rPr>
            </w:pPr>
            <w:r>
              <w:rPr>
                <w:rFonts w:hint="eastAsia" w:ascii="宋体" w:cs="宋体"/>
                <w:szCs w:val="21"/>
                <w:lang w:bidi="ar"/>
              </w:rPr>
              <w:t>持续时间（</w:t>
            </w:r>
            <w:r>
              <w:rPr>
                <w:rFonts w:ascii="宋体"/>
                <w:szCs w:val="21"/>
                <w:lang w:bidi="ar"/>
              </w:rPr>
              <w:t>min</w:t>
            </w:r>
            <w:r>
              <w:rPr>
                <w:rFonts w:hint="eastAsia" w:ascii="宋体" w:cs="宋体"/>
                <w:szCs w:val="21"/>
                <w:lang w:bidi="ar"/>
              </w:rPr>
              <w:t>）</w:t>
            </w:r>
          </w:p>
        </w:tc>
        <w:tc>
          <w:tcPr>
            <w:tcW w:w="4490" w:type="dxa"/>
            <w:tcBorders>
              <w:top w:val="single" w:color="auto" w:sz="4" w:space="0"/>
              <w:left w:val="single" w:color="auto" w:sz="4" w:space="0"/>
              <w:bottom w:val="single" w:color="auto" w:sz="4" w:space="0"/>
              <w:right w:val="single" w:color="auto" w:sz="4" w:space="0"/>
            </w:tcBorders>
          </w:tcPr>
          <w:p w14:paraId="06F1024D">
            <w:pPr>
              <w:spacing w:line="360" w:lineRule="auto"/>
              <w:jc w:val="center"/>
              <w:rPr>
                <w:rFonts w:ascii="宋体" w:cs="宋体"/>
                <w:szCs w:val="21"/>
                <w:lang w:bidi="ar"/>
              </w:rPr>
            </w:pPr>
            <w:r>
              <w:rPr>
                <w:rFonts w:hint="eastAsia" w:ascii="宋体" w:cs="宋体"/>
                <w:szCs w:val="21"/>
                <w:lang w:bidi="ar"/>
              </w:rPr>
              <w:t>备注</w:t>
            </w:r>
          </w:p>
        </w:tc>
      </w:tr>
      <w:tr w14:paraId="60975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47" w:type="dxa"/>
            <w:tcBorders>
              <w:top w:val="single" w:color="auto" w:sz="4" w:space="0"/>
              <w:left w:val="single" w:color="auto" w:sz="4" w:space="0"/>
              <w:bottom w:val="single" w:color="auto" w:sz="4" w:space="0"/>
              <w:right w:val="single" w:color="auto" w:sz="4" w:space="0"/>
            </w:tcBorders>
            <w:shd w:val="clear" w:color="auto" w:fill="auto"/>
            <w:vAlign w:val="center"/>
          </w:tcPr>
          <w:p w14:paraId="41B7C525">
            <w:pPr>
              <w:spacing w:line="360" w:lineRule="auto"/>
              <w:jc w:val="center"/>
              <w:rPr>
                <w:rFonts w:ascii="宋体"/>
                <w:szCs w:val="21"/>
              </w:rPr>
            </w:pPr>
            <w:r>
              <w:rPr>
                <w:rFonts w:ascii="宋体"/>
                <w:szCs w:val="21"/>
                <w:lang w:bidi="ar"/>
              </w:rPr>
              <w:t>1</w:t>
            </w:r>
          </w:p>
        </w:tc>
        <w:tc>
          <w:tcPr>
            <w:tcW w:w="1400" w:type="dxa"/>
            <w:tcBorders>
              <w:top w:val="single" w:color="auto" w:sz="4" w:space="0"/>
              <w:left w:val="single" w:color="auto" w:sz="4" w:space="0"/>
              <w:bottom w:val="single" w:color="auto" w:sz="4" w:space="0"/>
              <w:right w:val="single" w:color="auto" w:sz="4" w:space="0"/>
            </w:tcBorders>
            <w:shd w:val="clear" w:color="auto" w:fill="auto"/>
            <w:vAlign w:val="center"/>
          </w:tcPr>
          <w:p w14:paraId="697CD49E">
            <w:pPr>
              <w:spacing w:line="360" w:lineRule="auto"/>
              <w:jc w:val="center"/>
              <w:rPr>
                <w:rFonts w:ascii="宋体"/>
                <w:szCs w:val="21"/>
              </w:rPr>
            </w:pPr>
            <w:r>
              <w:rPr>
                <w:rFonts w:ascii="宋体"/>
                <w:szCs w:val="21"/>
                <w:lang w:bidi="ar"/>
              </w:rPr>
              <w:t>0</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02216C81">
            <w:pPr>
              <w:spacing w:line="360" w:lineRule="auto"/>
              <w:jc w:val="center"/>
              <w:rPr>
                <w:rFonts w:ascii="宋体"/>
                <w:szCs w:val="21"/>
              </w:rPr>
            </w:pPr>
            <w:r>
              <w:rPr>
                <w:rFonts w:ascii="宋体"/>
                <w:szCs w:val="21"/>
                <w:lang w:bidi="ar"/>
              </w:rPr>
              <w:t>3</w:t>
            </w:r>
          </w:p>
        </w:tc>
        <w:tc>
          <w:tcPr>
            <w:tcW w:w="4490" w:type="dxa"/>
            <w:tcBorders>
              <w:top w:val="single" w:color="auto" w:sz="4" w:space="0"/>
              <w:left w:val="single" w:color="auto" w:sz="4" w:space="0"/>
              <w:bottom w:val="single" w:color="auto" w:sz="4" w:space="0"/>
              <w:right w:val="single" w:color="auto" w:sz="4" w:space="0"/>
            </w:tcBorders>
          </w:tcPr>
          <w:p w14:paraId="6F8CC8D8">
            <w:pPr>
              <w:spacing w:line="360" w:lineRule="auto"/>
              <w:jc w:val="center"/>
              <w:rPr>
                <w:rFonts w:ascii="宋体"/>
                <w:szCs w:val="21"/>
                <w:lang w:bidi="ar"/>
              </w:rPr>
            </w:pPr>
            <w:r>
              <w:rPr>
                <w:rFonts w:ascii="宋体"/>
                <w:szCs w:val="21"/>
                <w:lang w:bidi="ar"/>
              </w:rPr>
              <w:t>记录背景噪声</w:t>
            </w:r>
          </w:p>
        </w:tc>
      </w:tr>
      <w:tr w14:paraId="1B2BC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47" w:type="dxa"/>
            <w:tcBorders>
              <w:top w:val="single" w:color="auto" w:sz="4" w:space="0"/>
              <w:left w:val="single" w:color="auto" w:sz="4" w:space="0"/>
              <w:bottom w:val="single" w:color="auto" w:sz="4" w:space="0"/>
              <w:right w:val="single" w:color="auto" w:sz="4" w:space="0"/>
            </w:tcBorders>
            <w:shd w:val="clear" w:color="auto" w:fill="auto"/>
            <w:vAlign w:val="center"/>
          </w:tcPr>
          <w:p w14:paraId="1A30A17C">
            <w:pPr>
              <w:spacing w:line="360" w:lineRule="auto"/>
              <w:jc w:val="center"/>
              <w:rPr>
                <w:rFonts w:ascii="宋体"/>
                <w:szCs w:val="21"/>
              </w:rPr>
            </w:pPr>
            <w:r>
              <w:rPr>
                <w:rFonts w:ascii="宋体"/>
                <w:szCs w:val="21"/>
                <w:lang w:bidi="ar"/>
              </w:rPr>
              <w:t>2</w:t>
            </w:r>
          </w:p>
        </w:tc>
        <w:tc>
          <w:tcPr>
            <w:tcW w:w="1400" w:type="dxa"/>
            <w:tcBorders>
              <w:top w:val="single" w:color="auto" w:sz="4" w:space="0"/>
              <w:left w:val="single" w:color="auto" w:sz="4" w:space="0"/>
              <w:bottom w:val="single" w:color="auto" w:sz="4" w:space="0"/>
              <w:right w:val="single" w:color="auto" w:sz="4" w:space="0"/>
            </w:tcBorders>
            <w:shd w:val="clear" w:color="auto" w:fill="auto"/>
            <w:vAlign w:val="center"/>
          </w:tcPr>
          <w:p w14:paraId="3EAE11C7">
            <w:pPr>
              <w:spacing w:line="360" w:lineRule="auto"/>
              <w:jc w:val="center"/>
              <w:rPr>
                <w:rFonts w:ascii="宋体"/>
                <w:szCs w:val="21"/>
              </w:rPr>
            </w:pPr>
            <w:r>
              <w:rPr>
                <w:rFonts w:ascii="宋体"/>
                <w:szCs w:val="21"/>
                <w:lang w:bidi="ar"/>
              </w:rPr>
              <w:t>0.5U</w:t>
            </w:r>
            <w:r>
              <w:rPr>
                <w:rFonts w:ascii="宋体"/>
                <w:szCs w:val="21"/>
                <w:vertAlign w:val="subscript"/>
                <w:lang w:bidi="ar"/>
              </w:rPr>
              <w:t>0</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E783691">
            <w:pPr>
              <w:spacing w:line="360" w:lineRule="auto"/>
              <w:jc w:val="center"/>
              <w:rPr>
                <w:rFonts w:ascii="宋体"/>
                <w:szCs w:val="21"/>
              </w:rPr>
            </w:pPr>
            <w:r>
              <w:rPr>
                <w:rFonts w:ascii="宋体"/>
                <w:szCs w:val="21"/>
                <w:lang w:bidi="ar"/>
              </w:rPr>
              <w:t>5</w:t>
            </w:r>
          </w:p>
        </w:tc>
        <w:tc>
          <w:tcPr>
            <w:tcW w:w="4490" w:type="dxa"/>
            <w:tcBorders>
              <w:top w:val="single" w:color="auto" w:sz="4" w:space="0"/>
              <w:left w:val="single" w:color="auto" w:sz="4" w:space="0"/>
              <w:bottom w:val="single" w:color="auto" w:sz="4" w:space="0"/>
              <w:right w:val="single" w:color="auto" w:sz="4" w:space="0"/>
            </w:tcBorders>
          </w:tcPr>
          <w:p w14:paraId="66529CB7">
            <w:pPr>
              <w:spacing w:line="360" w:lineRule="auto"/>
              <w:jc w:val="center"/>
              <w:rPr>
                <w:rFonts w:ascii="宋体"/>
                <w:szCs w:val="21"/>
                <w:lang w:bidi="ar"/>
              </w:rPr>
            </w:pPr>
            <w:r>
              <w:rPr>
                <w:rFonts w:ascii="宋体"/>
                <w:szCs w:val="21"/>
                <w:lang w:bidi="ar"/>
              </w:rPr>
              <w:t>检查系统连接，确认无异常起晕</w:t>
            </w:r>
          </w:p>
        </w:tc>
      </w:tr>
      <w:tr w14:paraId="5CB98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47" w:type="dxa"/>
            <w:tcBorders>
              <w:top w:val="single" w:color="auto" w:sz="4" w:space="0"/>
              <w:left w:val="single" w:color="auto" w:sz="4" w:space="0"/>
              <w:bottom w:val="single" w:color="auto" w:sz="4" w:space="0"/>
              <w:right w:val="single" w:color="auto" w:sz="4" w:space="0"/>
            </w:tcBorders>
            <w:shd w:val="clear" w:color="auto" w:fill="auto"/>
            <w:vAlign w:val="center"/>
          </w:tcPr>
          <w:p w14:paraId="113EE0C6">
            <w:pPr>
              <w:spacing w:line="360" w:lineRule="auto"/>
              <w:jc w:val="center"/>
              <w:rPr>
                <w:rFonts w:ascii="宋体"/>
                <w:szCs w:val="21"/>
              </w:rPr>
            </w:pPr>
            <w:r>
              <w:rPr>
                <w:rFonts w:hint="eastAsia" w:ascii="宋体"/>
                <w:szCs w:val="21"/>
              </w:rPr>
              <w:t>3</w:t>
            </w:r>
          </w:p>
        </w:tc>
        <w:tc>
          <w:tcPr>
            <w:tcW w:w="1400" w:type="dxa"/>
            <w:tcBorders>
              <w:top w:val="single" w:color="auto" w:sz="4" w:space="0"/>
              <w:left w:val="single" w:color="auto" w:sz="4" w:space="0"/>
              <w:bottom w:val="single" w:color="auto" w:sz="4" w:space="0"/>
              <w:right w:val="single" w:color="auto" w:sz="4" w:space="0"/>
            </w:tcBorders>
            <w:shd w:val="clear" w:color="auto" w:fill="auto"/>
            <w:vAlign w:val="center"/>
          </w:tcPr>
          <w:p w14:paraId="4812E578">
            <w:pPr>
              <w:spacing w:line="360" w:lineRule="auto"/>
              <w:jc w:val="center"/>
              <w:rPr>
                <w:rFonts w:ascii="宋体"/>
                <w:szCs w:val="21"/>
              </w:rPr>
            </w:pPr>
            <w:r>
              <w:rPr>
                <w:rFonts w:ascii="宋体"/>
                <w:szCs w:val="21"/>
                <w:lang w:bidi="ar"/>
              </w:rPr>
              <w:t>U</w:t>
            </w:r>
            <w:r>
              <w:rPr>
                <w:rFonts w:ascii="宋体"/>
                <w:szCs w:val="21"/>
                <w:vertAlign w:val="subscript"/>
                <w:lang w:bidi="ar"/>
              </w:rPr>
              <w:t>0</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0E60DF68">
            <w:pPr>
              <w:spacing w:line="360" w:lineRule="auto"/>
              <w:jc w:val="center"/>
              <w:rPr>
                <w:rFonts w:ascii="宋体"/>
                <w:szCs w:val="21"/>
              </w:rPr>
            </w:pPr>
            <w:r>
              <w:rPr>
                <w:rFonts w:ascii="宋体"/>
                <w:szCs w:val="21"/>
                <w:lang w:bidi="ar"/>
              </w:rPr>
              <w:t>10</w:t>
            </w:r>
          </w:p>
        </w:tc>
        <w:tc>
          <w:tcPr>
            <w:tcW w:w="4490" w:type="dxa"/>
            <w:tcBorders>
              <w:top w:val="single" w:color="auto" w:sz="4" w:space="0"/>
              <w:left w:val="single" w:color="auto" w:sz="4" w:space="0"/>
              <w:bottom w:val="single" w:color="auto" w:sz="4" w:space="0"/>
              <w:right w:val="single" w:color="auto" w:sz="4" w:space="0"/>
            </w:tcBorders>
          </w:tcPr>
          <w:p w14:paraId="136FCF61">
            <w:pPr>
              <w:spacing w:line="360" w:lineRule="auto"/>
              <w:jc w:val="center"/>
              <w:rPr>
                <w:rFonts w:ascii="宋体"/>
                <w:szCs w:val="21"/>
                <w:lang w:bidi="ar"/>
              </w:rPr>
            </w:pPr>
            <w:r>
              <w:rPr>
                <w:rFonts w:ascii="宋体"/>
                <w:szCs w:val="21"/>
                <w:lang w:bidi="ar"/>
              </w:rPr>
              <w:t>模拟长期运行状态，记录</w:t>
            </w:r>
            <w:r>
              <w:rPr>
                <w:rFonts w:hint="eastAsia" w:ascii="宋体"/>
                <w:szCs w:val="21"/>
                <w:lang w:bidi="ar"/>
              </w:rPr>
              <w:t>信号</w:t>
            </w:r>
          </w:p>
        </w:tc>
      </w:tr>
      <w:tr w14:paraId="59F90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47" w:type="dxa"/>
            <w:tcBorders>
              <w:top w:val="single" w:color="auto" w:sz="4" w:space="0"/>
              <w:left w:val="single" w:color="auto" w:sz="4" w:space="0"/>
              <w:bottom w:val="single" w:color="auto" w:sz="4" w:space="0"/>
              <w:right w:val="single" w:color="auto" w:sz="4" w:space="0"/>
            </w:tcBorders>
            <w:shd w:val="clear" w:color="auto" w:fill="auto"/>
            <w:vAlign w:val="center"/>
          </w:tcPr>
          <w:p w14:paraId="45771646">
            <w:pPr>
              <w:spacing w:line="360" w:lineRule="auto"/>
              <w:jc w:val="center"/>
              <w:rPr>
                <w:rFonts w:ascii="宋体"/>
                <w:szCs w:val="21"/>
              </w:rPr>
            </w:pPr>
            <w:r>
              <w:rPr>
                <w:rFonts w:hint="eastAsia" w:ascii="宋体"/>
                <w:szCs w:val="21"/>
                <w:lang w:bidi="ar"/>
              </w:rPr>
              <w:t>4</w:t>
            </w:r>
          </w:p>
        </w:tc>
        <w:tc>
          <w:tcPr>
            <w:tcW w:w="1400" w:type="dxa"/>
            <w:tcBorders>
              <w:top w:val="single" w:color="auto" w:sz="4" w:space="0"/>
              <w:left w:val="single" w:color="auto" w:sz="4" w:space="0"/>
              <w:bottom w:val="single" w:color="auto" w:sz="4" w:space="0"/>
              <w:right w:val="single" w:color="auto" w:sz="4" w:space="0"/>
            </w:tcBorders>
            <w:shd w:val="clear" w:color="auto" w:fill="auto"/>
            <w:vAlign w:val="center"/>
          </w:tcPr>
          <w:p w14:paraId="715B3785">
            <w:pPr>
              <w:spacing w:line="360" w:lineRule="auto"/>
              <w:jc w:val="center"/>
              <w:rPr>
                <w:rFonts w:ascii="宋体"/>
                <w:szCs w:val="21"/>
              </w:rPr>
            </w:pPr>
            <w:r>
              <w:rPr>
                <w:rFonts w:ascii="宋体"/>
                <w:szCs w:val="21"/>
                <w:lang w:bidi="ar"/>
              </w:rPr>
              <w:t>Ur/√3</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90FA3D4">
            <w:pPr>
              <w:spacing w:line="360" w:lineRule="auto"/>
              <w:jc w:val="center"/>
              <w:rPr>
                <w:rFonts w:ascii="宋体"/>
                <w:szCs w:val="21"/>
              </w:rPr>
            </w:pPr>
            <w:r>
              <w:rPr>
                <w:rFonts w:ascii="宋体"/>
                <w:szCs w:val="21"/>
                <w:lang w:bidi="ar"/>
              </w:rPr>
              <w:t>5</w:t>
            </w:r>
          </w:p>
        </w:tc>
        <w:tc>
          <w:tcPr>
            <w:tcW w:w="4490" w:type="dxa"/>
            <w:tcBorders>
              <w:top w:val="single" w:color="auto" w:sz="4" w:space="0"/>
              <w:left w:val="single" w:color="auto" w:sz="4" w:space="0"/>
              <w:bottom w:val="single" w:color="auto" w:sz="4" w:space="0"/>
              <w:right w:val="single" w:color="auto" w:sz="4" w:space="0"/>
            </w:tcBorders>
          </w:tcPr>
          <w:p w14:paraId="03E81BA2">
            <w:pPr>
              <w:spacing w:line="360" w:lineRule="auto"/>
              <w:jc w:val="center"/>
              <w:rPr>
                <w:rFonts w:ascii="宋体"/>
                <w:szCs w:val="21"/>
                <w:lang w:bidi="ar"/>
              </w:rPr>
            </w:pPr>
            <w:r>
              <w:rPr>
                <w:rFonts w:ascii="宋体"/>
                <w:szCs w:val="21"/>
                <w:lang w:bidi="ar"/>
              </w:rPr>
              <w:t>约 318 kV，考察额定状态下的绝缘性能</w:t>
            </w:r>
          </w:p>
        </w:tc>
      </w:tr>
      <w:tr w14:paraId="6171D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47" w:type="dxa"/>
            <w:tcBorders>
              <w:top w:val="single" w:color="auto" w:sz="4" w:space="0"/>
              <w:left w:val="single" w:color="auto" w:sz="4" w:space="0"/>
              <w:bottom w:val="single" w:color="auto" w:sz="4" w:space="0"/>
              <w:right w:val="single" w:color="auto" w:sz="4" w:space="0"/>
            </w:tcBorders>
            <w:shd w:val="clear" w:color="auto" w:fill="auto"/>
            <w:vAlign w:val="center"/>
          </w:tcPr>
          <w:p w14:paraId="47E15929">
            <w:pPr>
              <w:spacing w:line="360" w:lineRule="auto"/>
              <w:jc w:val="center"/>
              <w:rPr>
                <w:rFonts w:ascii="宋体"/>
                <w:szCs w:val="21"/>
              </w:rPr>
            </w:pPr>
            <w:r>
              <w:rPr>
                <w:rFonts w:hint="eastAsia" w:ascii="宋体"/>
                <w:szCs w:val="21"/>
                <w:lang w:bidi="ar"/>
              </w:rPr>
              <w:t>5</w:t>
            </w:r>
          </w:p>
        </w:tc>
        <w:tc>
          <w:tcPr>
            <w:tcW w:w="1400" w:type="dxa"/>
            <w:tcBorders>
              <w:top w:val="single" w:color="auto" w:sz="4" w:space="0"/>
              <w:left w:val="single" w:color="auto" w:sz="4" w:space="0"/>
              <w:bottom w:val="single" w:color="auto" w:sz="4" w:space="0"/>
              <w:right w:val="single" w:color="auto" w:sz="4" w:space="0"/>
            </w:tcBorders>
            <w:shd w:val="clear" w:color="auto" w:fill="auto"/>
            <w:vAlign w:val="center"/>
          </w:tcPr>
          <w:p w14:paraId="659DE2AF">
            <w:pPr>
              <w:spacing w:line="360" w:lineRule="auto"/>
              <w:jc w:val="center"/>
              <w:rPr>
                <w:rFonts w:ascii="宋体"/>
                <w:szCs w:val="21"/>
              </w:rPr>
            </w:pPr>
            <w:r>
              <w:rPr>
                <w:rFonts w:ascii="宋体"/>
                <w:szCs w:val="21"/>
                <w:lang w:bidi="ar"/>
              </w:rPr>
              <w:t>1.25U</w:t>
            </w:r>
            <w:r>
              <w:rPr>
                <w:rFonts w:ascii="宋体"/>
                <w:szCs w:val="21"/>
                <w:vertAlign w:val="subscript"/>
                <w:lang w:bidi="ar"/>
              </w:rPr>
              <w:t>0</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6CCF6A0">
            <w:pPr>
              <w:spacing w:line="360" w:lineRule="auto"/>
              <w:jc w:val="center"/>
              <w:rPr>
                <w:rFonts w:ascii="宋体"/>
                <w:szCs w:val="21"/>
              </w:rPr>
            </w:pPr>
            <w:r>
              <w:rPr>
                <w:rFonts w:ascii="宋体"/>
                <w:szCs w:val="21"/>
                <w:lang w:bidi="ar"/>
              </w:rPr>
              <w:t>5</w:t>
            </w:r>
          </w:p>
        </w:tc>
        <w:tc>
          <w:tcPr>
            <w:tcW w:w="4490" w:type="dxa"/>
            <w:tcBorders>
              <w:top w:val="single" w:color="auto" w:sz="4" w:space="0"/>
              <w:left w:val="single" w:color="auto" w:sz="4" w:space="0"/>
              <w:bottom w:val="single" w:color="auto" w:sz="4" w:space="0"/>
              <w:right w:val="single" w:color="auto" w:sz="4" w:space="0"/>
            </w:tcBorders>
          </w:tcPr>
          <w:p w14:paraId="208924BA">
            <w:pPr>
              <w:spacing w:line="360" w:lineRule="auto"/>
              <w:jc w:val="center"/>
              <w:rPr>
                <w:rFonts w:ascii="宋体"/>
                <w:szCs w:val="21"/>
                <w:lang w:bidi="ar"/>
              </w:rPr>
            </w:pPr>
            <w:r>
              <w:rPr>
                <w:rFonts w:ascii="宋体"/>
                <w:szCs w:val="21"/>
                <w:lang w:bidi="ar"/>
              </w:rPr>
              <w:t>模拟过电压工况</w:t>
            </w:r>
          </w:p>
        </w:tc>
      </w:tr>
      <w:tr w14:paraId="7BC80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47" w:type="dxa"/>
            <w:tcBorders>
              <w:top w:val="single" w:color="auto" w:sz="4" w:space="0"/>
              <w:left w:val="single" w:color="auto" w:sz="4" w:space="0"/>
              <w:bottom w:val="single" w:color="auto" w:sz="4" w:space="0"/>
              <w:right w:val="single" w:color="auto" w:sz="4" w:space="0"/>
            </w:tcBorders>
            <w:shd w:val="clear" w:color="auto" w:fill="auto"/>
            <w:vAlign w:val="center"/>
          </w:tcPr>
          <w:p w14:paraId="7ACAC1D4">
            <w:pPr>
              <w:spacing w:line="360" w:lineRule="auto"/>
              <w:jc w:val="center"/>
              <w:rPr>
                <w:rFonts w:ascii="宋体"/>
                <w:szCs w:val="21"/>
              </w:rPr>
            </w:pPr>
            <w:r>
              <w:rPr>
                <w:rFonts w:hint="eastAsia" w:ascii="宋体"/>
                <w:szCs w:val="21"/>
                <w:lang w:bidi="ar"/>
              </w:rPr>
              <w:t>6</w:t>
            </w:r>
          </w:p>
        </w:tc>
        <w:tc>
          <w:tcPr>
            <w:tcW w:w="1400" w:type="dxa"/>
            <w:tcBorders>
              <w:top w:val="single" w:color="auto" w:sz="4" w:space="0"/>
              <w:left w:val="single" w:color="auto" w:sz="4" w:space="0"/>
              <w:bottom w:val="single" w:color="auto" w:sz="4" w:space="0"/>
              <w:right w:val="single" w:color="auto" w:sz="4" w:space="0"/>
            </w:tcBorders>
            <w:shd w:val="clear" w:color="auto" w:fill="auto"/>
            <w:vAlign w:val="center"/>
          </w:tcPr>
          <w:p w14:paraId="73402544">
            <w:pPr>
              <w:spacing w:line="360" w:lineRule="auto"/>
              <w:jc w:val="center"/>
              <w:rPr>
                <w:rFonts w:ascii="宋体"/>
                <w:szCs w:val="21"/>
              </w:rPr>
            </w:pPr>
            <w:r>
              <w:rPr>
                <w:rFonts w:ascii="宋体"/>
                <w:szCs w:val="21"/>
                <w:lang w:bidi="ar"/>
              </w:rPr>
              <w:t>1.5U</w:t>
            </w:r>
            <w:r>
              <w:rPr>
                <w:rFonts w:ascii="宋体"/>
                <w:szCs w:val="21"/>
                <w:vertAlign w:val="subscript"/>
                <w:lang w:bidi="ar"/>
              </w:rPr>
              <w:t>0</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B06B452">
            <w:pPr>
              <w:spacing w:line="360" w:lineRule="auto"/>
              <w:jc w:val="center"/>
              <w:rPr>
                <w:rFonts w:ascii="宋体"/>
                <w:szCs w:val="21"/>
              </w:rPr>
            </w:pPr>
            <w:r>
              <w:rPr>
                <w:rFonts w:ascii="宋体"/>
                <w:szCs w:val="21"/>
                <w:lang w:bidi="ar"/>
              </w:rPr>
              <w:t>5</w:t>
            </w:r>
          </w:p>
        </w:tc>
        <w:tc>
          <w:tcPr>
            <w:tcW w:w="4490" w:type="dxa"/>
            <w:tcBorders>
              <w:top w:val="single" w:color="auto" w:sz="4" w:space="0"/>
              <w:left w:val="single" w:color="auto" w:sz="4" w:space="0"/>
              <w:bottom w:val="single" w:color="auto" w:sz="4" w:space="0"/>
              <w:right w:val="single" w:color="auto" w:sz="4" w:space="0"/>
            </w:tcBorders>
          </w:tcPr>
          <w:p w14:paraId="0E25BA08">
            <w:pPr>
              <w:spacing w:line="360" w:lineRule="auto"/>
              <w:jc w:val="center"/>
              <w:rPr>
                <w:rFonts w:ascii="宋体"/>
                <w:szCs w:val="21"/>
                <w:lang w:bidi="ar"/>
              </w:rPr>
            </w:pPr>
            <w:r>
              <w:rPr>
                <w:rFonts w:ascii="宋体"/>
                <w:szCs w:val="21"/>
                <w:lang w:bidi="ar"/>
              </w:rPr>
              <w:t>耐压考核阶段</w:t>
            </w:r>
          </w:p>
        </w:tc>
      </w:tr>
      <w:tr w14:paraId="7BD3D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47" w:type="dxa"/>
            <w:tcBorders>
              <w:top w:val="single" w:color="auto" w:sz="4" w:space="0"/>
              <w:left w:val="single" w:color="auto" w:sz="4" w:space="0"/>
              <w:bottom w:val="single" w:color="auto" w:sz="4" w:space="0"/>
              <w:right w:val="single" w:color="auto" w:sz="4" w:space="0"/>
            </w:tcBorders>
            <w:shd w:val="clear" w:color="auto" w:fill="auto"/>
            <w:vAlign w:val="center"/>
          </w:tcPr>
          <w:p w14:paraId="7E1D6FF1">
            <w:pPr>
              <w:spacing w:line="360" w:lineRule="auto"/>
              <w:jc w:val="center"/>
              <w:rPr>
                <w:rFonts w:ascii="宋体"/>
                <w:szCs w:val="21"/>
              </w:rPr>
            </w:pPr>
            <w:r>
              <w:rPr>
                <w:rFonts w:hint="eastAsia" w:ascii="宋体"/>
                <w:szCs w:val="21"/>
                <w:lang w:bidi="ar"/>
              </w:rPr>
              <w:t>7</w:t>
            </w:r>
          </w:p>
        </w:tc>
        <w:tc>
          <w:tcPr>
            <w:tcW w:w="1400" w:type="dxa"/>
            <w:tcBorders>
              <w:top w:val="single" w:color="auto" w:sz="4" w:space="0"/>
              <w:left w:val="single" w:color="auto" w:sz="4" w:space="0"/>
              <w:bottom w:val="single" w:color="auto" w:sz="4" w:space="0"/>
              <w:right w:val="single" w:color="auto" w:sz="4" w:space="0"/>
            </w:tcBorders>
            <w:shd w:val="clear" w:color="auto" w:fill="auto"/>
            <w:vAlign w:val="center"/>
          </w:tcPr>
          <w:p w14:paraId="0AD5D239">
            <w:pPr>
              <w:spacing w:line="360" w:lineRule="auto"/>
              <w:jc w:val="center"/>
              <w:rPr>
                <w:rFonts w:ascii="宋体"/>
                <w:szCs w:val="21"/>
              </w:rPr>
            </w:pPr>
            <w:r>
              <w:rPr>
                <w:rFonts w:ascii="宋体"/>
                <w:szCs w:val="21"/>
                <w:lang w:bidi="ar"/>
              </w:rPr>
              <w:t>2U</w:t>
            </w:r>
            <w:r>
              <w:rPr>
                <w:rFonts w:ascii="宋体"/>
                <w:szCs w:val="21"/>
                <w:vertAlign w:val="subscript"/>
                <w:lang w:bidi="ar"/>
              </w:rPr>
              <w:t>0</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74320A9E">
            <w:pPr>
              <w:spacing w:line="360" w:lineRule="auto"/>
              <w:jc w:val="center"/>
              <w:rPr>
                <w:rFonts w:ascii="宋体"/>
                <w:szCs w:val="21"/>
              </w:rPr>
            </w:pPr>
            <w:r>
              <w:rPr>
                <w:rFonts w:ascii="宋体"/>
                <w:szCs w:val="21"/>
                <w:lang w:bidi="ar"/>
              </w:rPr>
              <w:t>5</w:t>
            </w:r>
          </w:p>
        </w:tc>
        <w:tc>
          <w:tcPr>
            <w:tcW w:w="4490" w:type="dxa"/>
            <w:tcBorders>
              <w:top w:val="single" w:color="auto" w:sz="4" w:space="0"/>
              <w:left w:val="single" w:color="auto" w:sz="4" w:space="0"/>
              <w:bottom w:val="single" w:color="auto" w:sz="4" w:space="0"/>
              <w:right w:val="single" w:color="auto" w:sz="4" w:space="0"/>
            </w:tcBorders>
          </w:tcPr>
          <w:p w14:paraId="7940EBFD">
            <w:pPr>
              <w:spacing w:line="360" w:lineRule="auto"/>
              <w:jc w:val="center"/>
              <w:rPr>
                <w:rFonts w:ascii="宋体"/>
                <w:szCs w:val="21"/>
                <w:lang w:bidi="ar"/>
              </w:rPr>
            </w:pPr>
            <w:r>
              <w:rPr>
                <w:rFonts w:ascii="宋体"/>
                <w:szCs w:val="21"/>
                <w:lang w:bidi="ar"/>
              </w:rPr>
              <w:t>模拟过电压工况</w:t>
            </w:r>
          </w:p>
        </w:tc>
      </w:tr>
      <w:tr w14:paraId="61D45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47" w:type="dxa"/>
            <w:tcBorders>
              <w:top w:val="single" w:color="auto" w:sz="4" w:space="0"/>
              <w:left w:val="single" w:color="auto" w:sz="4" w:space="0"/>
              <w:bottom w:val="single" w:color="auto" w:sz="4" w:space="0"/>
              <w:right w:val="single" w:color="auto" w:sz="4" w:space="0"/>
            </w:tcBorders>
            <w:shd w:val="clear" w:color="auto" w:fill="auto"/>
            <w:vAlign w:val="center"/>
          </w:tcPr>
          <w:p w14:paraId="531FB575">
            <w:pPr>
              <w:spacing w:line="360" w:lineRule="auto"/>
              <w:jc w:val="center"/>
              <w:rPr>
                <w:rFonts w:ascii="宋体"/>
                <w:szCs w:val="21"/>
              </w:rPr>
            </w:pPr>
            <w:r>
              <w:rPr>
                <w:rFonts w:hint="eastAsia" w:ascii="宋体"/>
                <w:szCs w:val="21"/>
                <w:lang w:bidi="ar"/>
              </w:rPr>
              <w:t>8</w:t>
            </w:r>
          </w:p>
        </w:tc>
        <w:tc>
          <w:tcPr>
            <w:tcW w:w="1400" w:type="dxa"/>
            <w:tcBorders>
              <w:top w:val="single" w:color="auto" w:sz="4" w:space="0"/>
              <w:left w:val="single" w:color="auto" w:sz="4" w:space="0"/>
              <w:bottom w:val="single" w:color="auto" w:sz="4" w:space="0"/>
              <w:right w:val="single" w:color="auto" w:sz="4" w:space="0"/>
            </w:tcBorders>
            <w:shd w:val="clear" w:color="auto" w:fill="auto"/>
            <w:vAlign w:val="center"/>
          </w:tcPr>
          <w:p w14:paraId="117E5CCE">
            <w:pPr>
              <w:spacing w:line="360" w:lineRule="auto"/>
              <w:jc w:val="center"/>
              <w:rPr>
                <w:rFonts w:ascii="宋体"/>
                <w:szCs w:val="21"/>
              </w:rPr>
            </w:pPr>
            <w:r>
              <w:rPr>
                <w:rFonts w:ascii="宋体"/>
                <w:szCs w:val="21"/>
                <w:lang w:bidi="ar"/>
              </w:rPr>
              <w:t>U</w:t>
            </w:r>
            <w:r>
              <w:rPr>
                <w:rFonts w:ascii="宋体"/>
                <w:szCs w:val="21"/>
                <w:vertAlign w:val="subscript"/>
                <w:lang w:bidi="ar"/>
              </w:rPr>
              <w:t>0</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768DA394">
            <w:pPr>
              <w:spacing w:line="360" w:lineRule="auto"/>
              <w:jc w:val="center"/>
              <w:rPr>
                <w:rFonts w:ascii="宋体"/>
                <w:szCs w:val="21"/>
              </w:rPr>
            </w:pPr>
            <w:r>
              <w:rPr>
                <w:rFonts w:ascii="宋体"/>
                <w:szCs w:val="21"/>
                <w:lang w:bidi="ar"/>
              </w:rPr>
              <w:t>5</w:t>
            </w:r>
          </w:p>
        </w:tc>
        <w:tc>
          <w:tcPr>
            <w:tcW w:w="4490" w:type="dxa"/>
            <w:tcBorders>
              <w:top w:val="single" w:color="auto" w:sz="4" w:space="0"/>
              <w:left w:val="single" w:color="auto" w:sz="4" w:space="0"/>
              <w:bottom w:val="single" w:color="auto" w:sz="4" w:space="0"/>
              <w:right w:val="single" w:color="auto" w:sz="4" w:space="0"/>
            </w:tcBorders>
          </w:tcPr>
          <w:p w14:paraId="461514CA">
            <w:pPr>
              <w:spacing w:line="360" w:lineRule="auto"/>
              <w:jc w:val="center"/>
              <w:rPr>
                <w:rFonts w:ascii="宋体"/>
                <w:szCs w:val="21"/>
                <w:lang w:bidi="ar"/>
              </w:rPr>
            </w:pPr>
            <w:r>
              <w:rPr>
                <w:rFonts w:ascii="宋体"/>
                <w:szCs w:val="21"/>
                <w:lang w:bidi="ar"/>
              </w:rPr>
              <w:t>考察电压回落后的局放熄灭特性（滞后效应）</w:t>
            </w:r>
          </w:p>
        </w:tc>
      </w:tr>
      <w:tr w14:paraId="0F743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47" w:type="dxa"/>
            <w:tcBorders>
              <w:top w:val="single" w:color="auto" w:sz="4" w:space="0"/>
              <w:left w:val="single" w:color="auto" w:sz="4" w:space="0"/>
              <w:bottom w:val="single" w:color="auto" w:sz="4" w:space="0"/>
              <w:right w:val="single" w:color="auto" w:sz="4" w:space="0"/>
            </w:tcBorders>
            <w:shd w:val="clear" w:color="auto" w:fill="auto"/>
            <w:vAlign w:val="center"/>
          </w:tcPr>
          <w:p w14:paraId="2A3ED117">
            <w:pPr>
              <w:spacing w:line="360" w:lineRule="auto"/>
              <w:jc w:val="center"/>
              <w:rPr>
                <w:rFonts w:ascii="宋体"/>
                <w:szCs w:val="21"/>
              </w:rPr>
            </w:pPr>
            <w:r>
              <w:rPr>
                <w:rFonts w:hint="eastAsia" w:ascii="宋体"/>
                <w:szCs w:val="21"/>
                <w:lang w:bidi="ar"/>
              </w:rPr>
              <w:t>9</w:t>
            </w:r>
          </w:p>
        </w:tc>
        <w:tc>
          <w:tcPr>
            <w:tcW w:w="1400" w:type="dxa"/>
            <w:tcBorders>
              <w:top w:val="single" w:color="auto" w:sz="4" w:space="0"/>
              <w:left w:val="single" w:color="auto" w:sz="4" w:space="0"/>
              <w:bottom w:val="single" w:color="auto" w:sz="4" w:space="0"/>
              <w:right w:val="single" w:color="auto" w:sz="4" w:space="0"/>
            </w:tcBorders>
            <w:shd w:val="clear" w:color="auto" w:fill="auto"/>
            <w:vAlign w:val="center"/>
          </w:tcPr>
          <w:p w14:paraId="553EAA8F">
            <w:pPr>
              <w:spacing w:line="360" w:lineRule="auto"/>
              <w:jc w:val="center"/>
              <w:rPr>
                <w:rFonts w:ascii="宋体"/>
                <w:szCs w:val="21"/>
              </w:rPr>
            </w:pPr>
            <w:r>
              <w:rPr>
                <w:rFonts w:ascii="宋体"/>
                <w:szCs w:val="21"/>
                <w:lang w:bidi="ar"/>
              </w:rPr>
              <w:t>0</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69C2FE39">
            <w:pPr>
              <w:spacing w:line="360" w:lineRule="auto"/>
              <w:jc w:val="center"/>
              <w:rPr>
                <w:rFonts w:ascii="宋体"/>
                <w:szCs w:val="21"/>
              </w:rPr>
            </w:pPr>
            <w:r>
              <w:rPr>
                <w:rFonts w:ascii="宋体"/>
                <w:szCs w:val="21"/>
                <w:lang w:bidi="ar"/>
              </w:rPr>
              <w:t>-</w:t>
            </w:r>
          </w:p>
        </w:tc>
        <w:tc>
          <w:tcPr>
            <w:tcW w:w="4490" w:type="dxa"/>
            <w:tcBorders>
              <w:top w:val="single" w:color="auto" w:sz="4" w:space="0"/>
              <w:left w:val="single" w:color="auto" w:sz="4" w:space="0"/>
              <w:bottom w:val="single" w:color="auto" w:sz="4" w:space="0"/>
              <w:right w:val="single" w:color="auto" w:sz="4" w:space="0"/>
            </w:tcBorders>
          </w:tcPr>
          <w:p w14:paraId="00C4F27F">
            <w:pPr>
              <w:spacing w:line="360" w:lineRule="auto"/>
              <w:jc w:val="center"/>
              <w:rPr>
                <w:rFonts w:ascii="宋体"/>
                <w:szCs w:val="21"/>
                <w:lang w:bidi="ar"/>
              </w:rPr>
            </w:pPr>
            <w:r>
              <w:rPr>
                <w:rFonts w:ascii="宋体"/>
                <w:szCs w:val="21"/>
                <w:lang w:bidi="ar"/>
              </w:rPr>
              <w:t>试验结束，放电接地</w:t>
            </w:r>
          </w:p>
        </w:tc>
      </w:tr>
    </w:tbl>
    <w:p w14:paraId="5378FD3A">
      <w:pPr>
        <w:pStyle w:val="34"/>
        <w:numPr>
          <w:ilvl w:val="0"/>
          <w:numId w:val="0"/>
        </w:numPr>
      </w:pPr>
      <w:r>
        <w:rPr>
          <w:rFonts w:hint="eastAsia"/>
        </w:rPr>
        <w:t>A.3 试验报告</w:t>
      </w:r>
    </w:p>
    <w:p w14:paraId="0F3AF2E7">
      <w:pPr>
        <w:pStyle w:val="17"/>
      </w:pPr>
      <w:r>
        <w:t>试验报告应数据详实、结论明确，主要包含以下内容：</w:t>
      </w:r>
    </w:p>
    <w:p w14:paraId="74F5D4FA">
      <w:pPr>
        <w:pStyle w:val="17"/>
      </w:pPr>
      <w:r>
        <w:rPr>
          <w:rFonts w:hint="eastAsia"/>
        </w:rPr>
        <w:t>A.3.1 基础信息</w:t>
      </w:r>
    </w:p>
    <w:p w14:paraId="1E8E6062">
      <w:pPr>
        <w:pStyle w:val="17"/>
      </w:pPr>
      <w:r>
        <w:t>试验环境：环境温度（°C）、相对湿度（%RH）、大气压力（kPa）。</w:t>
      </w:r>
    </w:p>
    <w:p w14:paraId="686408B6">
      <w:pPr>
        <w:pStyle w:val="17"/>
      </w:pPr>
      <w:r>
        <w:t>被试对象：GIL 盆式绝缘子厂家、型号、出厂编号、生产日期。</w:t>
      </w:r>
    </w:p>
    <w:p w14:paraId="225B12DD">
      <w:pPr>
        <w:pStyle w:val="17"/>
      </w:pPr>
      <w:r>
        <w:t>缺陷信息：缺陷类型（如：金属尖端、自由微粒、气隙、沿面污秽等）、缺陷尺寸、缺陷位置及植入方式（附照片）。</w:t>
      </w:r>
    </w:p>
    <w:p w14:paraId="1F0C1C41">
      <w:pPr>
        <w:pStyle w:val="17"/>
      </w:pPr>
      <w:r>
        <w:t>监测装置：在线监测装置厂家、型号、传感器类型、数量及布点示意图。</w:t>
      </w:r>
    </w:p>
    <w:p w14:paraId="54F7FC64">
      <w:pPr>
        <w:pStyle w:val="17"/>
      </w:pPr>
      <w:r>
        <w:rPr>
          <w:rFonts w:hint="eastAsia"/>
        </w:rPr>
        <w:t>A.3.2 试验数据</w:t>
      </w:r>
    </w:p>
    <w:p w14:paraId="18CA469D">
      <w:pPr>
        <w:pStyle w:val="17"/>
      </w:pPr>
      <w:r>
        <w:rPr>
          <w:rFonts w:hint="eastAsia"/>
        </w:rPr>
        <w:t>局放特征：脉冲电流记录各电压阶段的局放起始电压（PDIV）、Q</w:t>
      </w:r>
      <w:r>
        <w:rPr>
          <w:rFonts w:hint="eastAsia"/>
          <w:vertAlign w:val="subscript"/>
        </w:rPr>
        <w:t>IEC</w:t>
      </w:r>
      <w:r>
        <w:rPr>
          <w:rFonts w:hint="eastAsia"/>
        </w:rPr>
        <w:t>放电量、1min脉冲图片。</w:t>
      </w:r>
    </w:p>
    <w:p w14:paraId="42A9DD17">
      <w:pPr>
        <w:pStyle w:val="17"/>
      </w:pPr>
      <w:r>
        <w:t>图谱记录：提供典型电压下的</w:t>
      </w:r>
      <w:r>
        <w:rPr>
          <w:rFonts w:hint="eastAsia"/>
        </w:rPr>
        <w:t>特高频、超声</w:t>
      </w:r>
      <w:r>
        <w:t xml:space="preserve"> PRPD（相位分辨局放图谱）、PRPS（相位分辨脉冲序列）</w:t>
      </w:r>
      <w:r>
        <w:rPr>
          <w:rFonts w:hint="eastAsia"/>
        </w:rPr>
        <w:t>图谱、</w:t>
      </w:r>
      <w:r>
        <w:t>飞行时间谱（如有）及超声波波形图</w:t>
      </w:r>
      <w:r>
        <w:rPr>
          <w:rFonts w:hint="eastAsia"/>
        </w:rPr>
        <w:t>（如有）。</w:t>
      </w:r>
    </w:p>
    <w:p w14:paraId="2AB69BE4">
      <w:pPr>
        <w:pStyle w:val="17"/>
      </w:pPr>
      <w:r>
        <w:t>信号幅值：记录特高频信号幅值（dBm/mV）和超声波信号幅值（mV/dB）。</w:t>
      </w:r>
    </w:p>
    <w:p w14:paraId="0B72255C">
      <w:pPr>
        <w:pStyle w:val="17"/>
      </w:pPr>
      <w:r>
        <w:rPr>
          <w:rFonts w:hint="eastAsia"/>
        </w:rPr>
        <w:t>A.3.3 评估结论</w:t>
      </w:r>
    </w:p>
    <w:p w14:paraId="60D146CC">
      <w:pPr>
        <w:ind w:firstLine="420"/>
      </w:pPr>
      <w:r>
        <w:rPr>
          <w:rFonts w:hint="eastAsia"/>
        </w:rPr>
        <w:t>记录每次缺陷样品试验后的解体情况，结合</w:t>
      </w:r>
      <w:r>
        <w:t>试验图谱特征，分析该类型缺陷在不同电压等级下的放电发展规律</w:t>
      </w:r>
      <w:r>
        <w:rPr>
          <w:rFonts w:hint="eastAsia"/>
        </w:rPr>
        <w:t>；</w:t>
      </w:r>
    </w:p>
    <w:p w14:paraId="1A387863">
      <w:pPr>
        <w:spacing w:before="156" w:beforeLines="50" w:after="156" w:afterLines="50"/>
        <w:outlineLvl w:val="0"/>
        <w:rPr>
          <w:rFonts w:eastAsia="黑体"/>
          <w:b/>
          <w:sz w:val="24"/>
        </w:rPr>
        <w:sectPr>
          <w:pgSz w:w="11906" w:h="16838"/>
          <w:pgMar w:top="567" w:right="1134" w:bottom="1134" w:left="1417" w:header="1418" w:footer="1134" w:gutter="0"/>
          <w:cols w:space="425" w:num="1"/>
          <w:formProt w:val="0"/>
          <w:docGrid w:type="lines" w:linePitch="312" w:charSpace="0"/>
        </w:sectPr>
      </w:pPr>
    </w:p>
    <w:p w14:paraId="66799C89">
      <w:pPr>
        <w:pStyle w:val="76"/>
      </w:pPr>
      <w:bookmarkStart w:id="50" w:name="_Toc20054"/>
      <w:r>
        <w:br w:type="textWrapping"/>
      </w:r>
      <w:r>
        <w:rPr>
          <w:rFonts w:hint="eastAsia"/>
        </w:rPr>
        <w:t>（资料性附录）</w:t>
      </w:r>
      <w:r>
        <w:br w:type="textWrapping"/>
      </w:r>
      <w:r>
        <w:rPr>
          <w:rFonts w:hint="eastAsia"/>
        </w:rPr>
        <w:t>GIL盆式绝缘子典型缺陷实验室模拟及局部放电特高频信号典型图谱</w:t>
      </w:r>
      <w:bookmarkEnd w:id="50"/>
    </w:p>
    <w:p w14:paraId="7855A6D9">
      <w:pPr>
        <w:jc w:val="center"/>
        <w:rPr>
          <w:rFonts w:hint="eastAsia" w:ascii="黑体" w:hAnsi="黑体" w:eastAsia="黑体"/>
        </w:rPr>
      </w:pPr>
      <w:r>
        <w:rPr>
          <w:rFonts w:hint="eastAsia" w:ascii="黑体" w:hAnsi="黑体" w:eastAsia="黑体"/>
        </w:rPr>
        <w:t>表B.1实验室GIL盆式绝缘子典型缺陷模拟布置</w:t>
      </w:r>
    </w:p>
    <w:tbl>
      <w:tblPr>
        <w:tblStyle w:val="25"/>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115"/>
        <w:gridCol w:w="3115"/>
        <w:gridCol w:w="3115"/>
      </w:tblGrid>
      <w:tr w14:paraId="3A2097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5" w:type="dxa"/>
            <w:vAlign w:val="center"/>
          </w:tcPr>
          <w:p w14:paraId="5F516112">
            <w:pPr>
              <w:pStyle w:val="17"/>
              <w:ind w:firstLine="0" w:firstLineChars="0"/>
              <w:jc w:val="center"/>
              <w:rPr>
                <w:szCs w:val="18"/>
              </w:rPr>
            </w:pPr>
            <w:r>
              <w:rPr>
                <w:rFonts w:hint="eastAsia"/>
                <w:szCs w:val="18"/>
              </w:rPr>
              <w:t>自由金属颗粒</w:t>
            </w:r>
          </w:p>
        </w:tc>
        <w:tc>
          <w:tcPr>
            <w:tcW w:w="3115" w:type="dxa"/>
            <w:vAlign w:val="center"/>
          </w:tcPr>
          <w:p w14:paraId="3DF65290">
            <w:pPr>
              <w:pStyle w:val="17"/>
              <w:ind w:firstLine="0" w:firstLineChars="0"/>
              <w:jc w:val="center"/>
              <w:rPr>
                <w:szCs w:val="18"/>
              </w:rPr>
            </w:pPr>
            <w:r>
              <w:rPr>
                <w:rFonts w:hint="eastAsia"/>
                <w:szCs w:val="18"/>
              </w:rPr>
              <w:t>沿面金属颗粒</w:t>
            </w:r>
          </w:p>
        </w:tc>
        <w:tc>
          <w:tcPr>
            <w:tcW w:w="3115" w:type="dxa"/>
            <w:vAlign w:val="center"/>
          </w:tcPr>
          <w:p w14:paraId="46550428">
            <w:pPr>
              <w:pStyle w:val="17"/>
              <w:ind w:firstLine="0" w:firstLineChars="0"/>
              <w:jc w:val="center"/>
              <w:rPr>
                <w:szCs w:val="18"/>
              </w:rPr>
            </w:pPr>
            <w:r>
              <w:rPr>
                <w:rFonts w:hint="eastAsia"/>
                <w:szCs w:val="18"/>
              </w:rPr>
              <w:t>沿面金属丝</w:t>
            </w:r>
          </w:p>
        </w:tc>
      </w:tr>
      <w:tr w14:paraId="4C74BF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5" w:type="dxa"/>
            <w:vAlign w:val="center"/>
          </w:tcPr>
          <w:p w14:paraId="79B04414">
            <w:pPr>
              <w:pStyle w:val="17"/>
              <w:ind w:firstLine="0" w:firstLineChars="0"/>
              <w:jc w:val="center"/>
              <w:rPr>
                <w:szCs w:val="18"/>
              </w:rPr>
            </w:pPr>
            <w:r>
              <w:rPr>
                <w:rFonts w:hint="eastAsia"/>
                <w:szCs w:val="18"/>
              </w:rPr>
              <w:object>
                <v:shape id="_x0000_i1025" o:spt="75" alt="" type="#_x0000_t75" style="height:134.9pt;width:142pt;" o:ole="t" filled="f" o:preferrelative="t" stroked="f" coordsize="21600,21600">
                  <v:path/>
                  <v:fill on="f" focussize="0,0"/>
                  <v:stroke on="f"/>
                  <v:imagedata r:id="rId9" o:title=""/>
                  <o:lock v:ext="edit" aspectratio="t"/>
                  <w10:wrap type="none"/>
                  <w10:anchorlock/>
                </v:shape>
                <o:OLEObject Type="Embed" ProgID="Visio.Drawing.15" ShapeID="_x0000_i1025" DrawAspect="Content" ObjectID="_1468075725" r:id="rId8">
                  <o:LockedField>false</o:LockedField>
                </o:OLEObject>
              </w:object>
            </w:r>
          </w:p>
        </w:tc>
        <w:tc>
          <w:tcPr>
            <w:tcW w:w="3115" w:type="dxa"/>
            <w:vAlign w:val="center"/>
          </w:tcPr>
          <w:p w14:paraId="12E9C651">
            <w:pPr>
              <w:pStyle w:val="17"/>
              <w:ind w:firstLine="0" w:firstLineChars="0"/>
              <w:jc w:val="center"/>
              <w:rPr>
                <w:szCs w:val="18"/>
              </w:rPr>
            </w:pPr>
            <w:r>
              <w:rPr>
                <w:rFonts w:hint="eastAsia"/>
                <w:szCs w:val="18"/>
              </w:rPr>
              <w:object>
                <v:shape id="_x0000_i1026" o:spt="75" alt="" type="#_x0000_t75" style="height:134.9pt;width:142pt;" o:ole="t" filled="f" o:preferrelative="t" stroked="f" coordsize="21600,21600">
                  <v:path/>
                  <v:fill on="f" focussize="0,0"/>
                  <v:stroke on="f"/>
                  <v:imagedata r:id="rId11" o:title=""/>
                  <o:lock v:ext="edit" aspectratio="t"/>
                  <w10:wrap type="none"/>
                  <w10:anchorlock/>
                </v:shape>
                <o:OLEObject Type="Embed" ProgID="Visio.Drawing.15" ShapeID="_x0000_i1026" DrawAspect="Content" ObjectID="_1468075726" r:id="rId10">
                  <o:LockedField>false</o:LockedField>
                </o:OLEObject>
              </w:object>
            </w:r>
          </w:p>
        </w:tc>
        <w:tc>
          <w:tcPr>
            <w:tcW w:w="3115" w:type="dxa"/>
            <w:vAlign w:val="center"/>
          </w:tcPr>
          <w:p w14:paraId="76D5FF3D">
            <w:pPr>
              <w:pStyle w:val="17"/>
              <w:ind w:firstLine="0" w:firstLineChars="0"/>
              <w:jc w:val="center"/>
              <w:rPr>
                <w:szCs w:val="18"/>
              </w:rPr>
            </w:pPr>
            <w:r>
              <w:rPr>
                <w:rFonts w:hint="eastAsia"/>
                <w:szCs w:val="18"/>
              </w:rPr>
              <w:object>
                <v:shape id="_x0000_i1027" o:spt="75" alt="" type="#_x0000_t75" style="height:134.6pt;width:142pt;" o:ole="t" filled="f" o:preferrelative="t" stroked="f" coordsize="21600,21600">
                  <v:path/>
                  <v:fill on="f" focussize="0,0"/>
                  <v:stroke on="f"/>
                  <v:imagedata r:id="rId13" o:title=""/>
                  <o:lock v:ext="edit" aspectratio="t"/>
                  <w10:wrap type="none"/>
                  <w10:anchorlock/>
                </v:shape>
                <o:OLEObject Type="Embed" ProgID="Visio.Drawing.15" ShapeID="_x0000_i1027" DrawAspect="Content" ObjectID="_1468075727" r:id="rId12">
                  <o:LockedField>false</o:LockedField>
                </o:OLEObject>
              </w:object>
            </w:r>
          </w:p>
        </w:tc>
      </w:tr>
      <w:tr w14:paraId="2389CE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5" w:type="dxa"/>
            <w:vAlign w:val="center"/>
          </w:tcPr>
          <w:p w14:paraId="552EC222">
            <w:pPr>
              <w:pStyle w:val="17"/>
              <w:ind w:firstLine="0" w:firstLineChars="0"/>
              <w:jc w:val="center"/>
              <w:rPr>
                <w:szCs w:val="18"/>
              </w:rPr>
            </w:pPr>
            <w:r>
              <w:rPr>
                <w:rFonts w:hint="eastAsia"/>
                <w:szCs w:val="18"/>
              </w:rPr>
              <w:t>沿面裂纹</w:t>
            </w:r>
          </w:p>
        </w:tc>
        <w:tc>
          <w:tcPr>
            <w:tcW w:w="3115" w:type="dxa"/>
            <w:vAlign w:val="center"/>
          </w:tcPr>
          <w:p w14:paraId="61B1AB77">
            <w:pPr>
              <w:pStyle w:val="17"/>
              <w:ind w:firstLine="0" w:firstLineChars="0"/>
              <w:jc w:val="center"/>
              <w:rPr>
                <w:szCs w:val="18"/>
              </w:rPr>
            </w:pPr>
            <w:r>
              <w:rPr>
                <w:rFonts w:hint="eastAsia"/>
                <w:szCs w:val="18"/>
              </w:rPr>
              <w:t>金属粉末</w:t>
            </w:r>
          </w:p>
        </w:tc>
        <w:tc>
          <w:tcPr>
            <w:tcW w:w="3115" w:type="dxa"/>
            <w:vAlign w:val="center"/>
          </w:tcPr>
          <w:p w14:paraId="7CBF318A">
            <w:pPr>
              <w:pStyle w:val="17"/>
              <w:ind w:firstLine="0" w:firstLineChars="0"/>
              <w:jc w:val="center"/>
              <w:rPr>
                <w:szCs w:val="18"/>
              </w:rPr>
            </w:pPr>
            <w:r>
              <w:rPr>
                <w:rFonts w:hint="eastAsia"/>
                <w:szCs w:val="18"/>
              </w:rPr>
              <w:t>金属尖端</w:t>
            </w:r>
          </w:p>
        </w:tc>
      </w:tr>
      <w:tr w14:paraId="141B4F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5" w:type="dxa"/>
            <w:vAlign w:val="center"/>
          </w:tcPr>
          <w:p w14:paraId="71F07D06">
            <w:pPr>
              <w:pStyle w:val="17"/>
              <w:ind w:firstLine="0" w:firstLineChars="0"/>
              <w:jc w:val="center"/>
              <w:rPr>
                <w:szCs w:val="18"/>
              </w:rPr>
            </w:pPr>
            <w:r>
              <w:rPr>
                <w:rFonts w:hint="eastAsia"/>
                <w:szCs w:val="18"/>
              </w:rPr>
              <w:object>
                <v:shape id="_x0000_i1028" o:spt="75" alt="" type="#_x0000_t75" style="height:134.3pt;width:142pt;" o:ole="t" filled="f" o:preferrelative="t" stroked="f" coordsize="21600,21600">
                  <v:path/>
                  <v:fill on="f" focussize="0,0"/>
                  <v:stroke on="f"/>
                  <v:imagedata r:id="rId15" o:title=""/>
                  <o:lock v:ext="edit" aspectratio="t"/>
                  <w10:wrap type="none"/>
                  <w10:anchorlock/>
                </v:shape>
                <o:OLEObject Type="Embed" ProgID="Visio.Drawing.15" ShapeID="_x0000_i1028" DrawAspect="Content" ObjectID="_1468075728" r:id="rId14">
                  <o:LockedField>false</o:LockedField>
                </o:OLEObject>
              </w:object>
            </w:r>
          </w:p>
        </w:tc>
        <w:tc>
          <w:tcPr>
            <w:tcW w:w="3115" w:type="dxa"/>
            <w:vAlign w:val="center"/>
          </w:tcPr>
          <w:p w14:paraId="11657C25">
            <w:pPr>
              <w:pStyle w:val="17"/>
              <w:ind w:firstLine="0" w:firstLineChars="0"/>
              <w:jc w:val="center"/>
              <w:rPr>
                <w:szCs w:val="18"/>
              </w:rPr>
            </w:pPr>
            <w:r>
              <w:rPr>
                <w:rFonts w:hint="eastAsia"/>
                <w:szCs w:val="18"/>
              </w:rPr>
              <w:object>
                <v:shape id="_x0000_i1029" o:spt="75" alt="" type="#_x0000_t75" style="height:134.3pt;width:142pt;" o:ole="t" filled="f" o:preferrelative="t" stroked="f" coordsize="21600,21600">
                  <v:path/>
                  <v:fill on="f" focussize="0,0"/>
                  <v:stroke on="f"/>
                  <v:imagedata r:id="rId17" o:title=""/>
                  <o:lock v:ext="edit" aspectratio="t"/>
                  <w10:wrap type="none"/>
                  <w10:anchorlock/>
                </v:shape>
                <o:OLEObject Type="Embed" ProgID="Visio.Drawing.15" ShapeID="_x0000_i1029" DrawAspect="Content" ObjectID="_1468075729" r:id="rId16">
                  <o:LockedField>false</o:LockedField>
                </o:OLEObject>
              </w:object>
            </w:r>
          </w:p>
        </w:tc>
        <w:tc>
          <w:tcPr>
            <w:tcW w:w="3115" w:type="dxa"/>
            <w:vAlign w:val="center"/>
          </w:tcPr>
          <w:p w14:paraId="59D78494">
            <w:pPr>
              <w:pStyle w:val="17"/>
              <w:ind w:firstLine="0" w:firstLineChars="0"/>
              <w:jc w:val="center"/>
              <w:rPr>
                <w:szCs w:val="18"/>
              </w:rPr>
            </w:pPr>
            <w:r>
              <w:rPr>
                <w:rFonts w:hint="eastAsia"/>
                <w:szCs w:val="18"/>
              </w:rPr>
              <w:object>
                <v:shape id="_x0000_i1030" o:spt="75" alt="" type="#_x0000_t75" style="height:134.9pt;width:142pt;" o:ole="t" filled="f" o:preferrelative="t" stroked="f" coordsize="21600,21600">
                  <v:path/>
                  <v:fill on="f" focussize="0,0"/>
                  <v:stroke on="f"/>
                  <v:imagedata r:id="rId19" o:title=""/>
                  <o:lock v:ext="edit" aspectratio="t"/>
                  <w10:wrap type="none"/>
                  <w10:anchorlock/>
                </v:shape>
                <o:OLEObject Type="Embed" ProgID="Visio.Drawing.15" ShapeID="_x0000_i1030" DrawAspect="Content" ObjectID="_1468075730" r:id="rId18">
                  <o:LockedField>false</o:LockedField>
                </o:OLEObject>
              </w:object>
            </w:r>
          </w:p>
        </w:tc>
      </w:tr>
    </w:tbl>
    <w:p w14:paraId="5A4766D7">
      <w:pPr>
        <w:pStyle w:val="17"/>
      </w:pPr>
    </w:p>
    <w:p w14:paraId="1CB57828">
      <w:pPr>
        <w:jc w:val="center"/>
        <w:rPr>
          <w:rFonts w:hint="eastAsia" w:ascii="黑体" w:hAnsi="黑体" w:eastAsia="黑体"/>
        </w:rPr>
      </w:pPr>
      <w:r>
        <w:rPr>
          <w:rFonts w:hint="eastAsia" w:ascii="黑体" w:hAnsi="黑体" w:eastAsia="黑体"/>
        </w:rPr>
        <w:t>表B.2实验室模拟典型单一缺陷局部放电特高频信号PRPD图谱（1min）</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2"/>
        <w:gridCol w:w="1172"/>
        <w:gridCol w:w="5674"/>
      </w:tblGrid>
      <w:tr w14:paraId="12BFA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522" w:type="dxa"/>
            <w:vAlign w:val="center"/>
          </w:tcPr>
          <w:p w14:paraId="782626E4">
            <w:pPr>
              <w:pStyle w:val="17"/>
              <w:ind w:firstLine="0" w:firstLineChars="0"/>
              <w:jc w:val="center"/>
              <w:rPr>
                <w:szCs w:val="18"/>
              </w:rPr>
            </w:pPr>
            <w:r>
              <w:rPr>
                <w:rFonts w:hint="eastAsia"/>
                <w:szCs w:val="18"/>
              </w:rPr>
              <w:t>缺陷类型</w:t>
            </w:r>
          </w:p>
        </w:tc>
        <w:tc>
          <w:tcPr>
            <w:tcW w:w="1172" w:type="dxa"/>
            <w:vAlign w:val="center"/>
          </w:tcPr>
          <w:p w14:paraId="09A64D5E">
            <w:pPr>
              <w:pStyle w:val="17"/>
              <w:ind w:firstLine="0" w:firstLineChars="0"/>
              <w:rPr>
                <w:szCs w:val="18"/>
              </w:rPr>
            </w:pPr>
            <w:r>
              <w:rPr>
                <w:rFonts w:hint="eastAsia"/>
                <w:szCs w:val="18"/>
              </w:rPr>
              <w:t>细分类型</w:t>
            </w:r>
          </w:p>
        </w:tc>
        <w:tc>
          <w:tcPr>
            <w:tcW w:w="5674" w:type="dxa"/>
            <w:vAlign w:val="center"/>
          </w:tcPr>
          <w:p w14:paraId="0D8000F3">
            <w:pPr>
              <w:pStyle w:val="17"/>
              <w:ind w:firstLine="0" w:firstLineChars="0"/>
              <w:jc w:val="center"/>
              <w:rPr>
                <w:szCs w:val="18"/>
              </w:rPr>
            </w:pPr>
            <w:r>
              <w:rPr>
                <w:rFonts w:hint="eastAsia"/>
                <w:szCs w:val="18"/>
              </w:rPr>
              <w:t>典型图谱</w:t>
            </w:r>
          </w:p>
        </w:tc>
      </w:tr>
      <w:tr w14:paraId="64F24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522" w:type="dxa"/>
            <w:vMerge w:val="restart"/>
            <w:vAlign w:val="center"/>
          </w:tcPr>
          <w:p w14:paraId="2314D7D3">
            <w:pPr>
              <w:pStyle w:val="17"/>
              <w:ind w:firstLine="0" w:firstLineChars="0"/>
              <w:jc w:val="center"/>
              <w:rPr>
                <w:szCs w:val="18"/>
              </w:rPr>
            </w:pPr>
            <w:r>
              <w:rPr>
                <w:rFonts w:hint="eastAsia"/>
                <w:szCs w:val="18"/>
              </w:rPr>
              <w:t>自由金属颗粒缺陷</w:t>
            </w:r>
          </w:p>
        </w:tc>
        <w:tc>
          <w:tcPr>
            <w:tcW w:w="1172" w:type="dxa"/>
            <w:vAlign w:val="center"/>
          </w:tcPr>
          <w:p w14:paraId="2AE70032">
            <w:pPr>
              <w:pStyle w:val="17"/>
              <w:ind w:firstLine="0" w:firstLineChars="0"/>
              <w:rPr>
                <w:szCs w:val="18"/>
              </w:rPr>
            </w:pPr>
            <w:r>
              <w:rPr>
                <w:rFonts w:hint="eastAsia"/>
                <w:szCs w:val="18"/>
              </w:rPr>
              <w:t>颗粒数量40（约0.5mm）</w:t>
            </w:r>
          </w:p>
        </w:tc>
        <w:tc>
          <w:tcPr>
            <w:tcW w:w="5674" w:type="dxa"/>
            <w:vAlign w:val="center"/>
          </w:tcPr>
          <w:p w14:paraId="23D5F5BB">
            <w:pPr>
              <w:pStyle w:val="17"/>
              <w:ind w:firstLine="0" w:firstLineChars="0"/>
              <w:rPr>
                <w:szCs w:val="18"/>
              </w:rPr>
            </w:pPr>
            <w:r>
              <w:rPr>
                <w:rFonts w:hint="eastAsia"/>
                <w:szCs w:val="20"/>
              </w:rPr>
              <w:object>
                <v:shape id="_x0000_i1031" o:spt="75" alt="" type="#_x0000_t75" style="height:133.45pt;width:272.65pt;" o:ole="t" filled="f" o:preferrelative="t" stroked="f" coordsize="21600,21600">
                  <v:path/>
                  <v:fill on="f" focussize="0,0"/>
                  <v:stroke on="f"/>
                  <v:imagedata r:id="rId21" o:title=""/>
                  <o:lock v:ext="edit" aspectratio="t"/>
                  <w10:wrap type="none"/>
                  <w10:anchorlock/>
                </v:shape>
                <o:OLEObject Type="Embed" ProgID="Visio.Drawing.15" ShapeID="_x0000_i1031" DrawAspect="Content" ObjectID="_1468075731" r:id="rId20">
                  <o:LockedField>false</o:LockedField>
                </o:OLEObject>
              </w:object>
            </w:r>
          </w:p>
        </w:tc>
      </w:tr>
      <w:tr w14:paraId="2910E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522" w:type="dxa"/>
            <w:vMerge w:val="continue"/>
            <w:vAlign w:val="center"/>
          </w:tcPr>
          <w:p w14:paraId="4D90B627">
            <w:pPr>
              <w:pStyle w:val="17"/>
              <w:ind w:firstLine="0" w:firstLineChars="0"/>
              <w:rPr>
                <w:szCs w:val="18"/>
              </w:rPr>
            </w:pPr>
          </w:p>
        </w:tc>
        <w:tc>
          <w:tcPr>
            <w:tcW w:w="1172" w:type="dxa"/>
            <w:vAlign w:val="center"/>
          </w:tcPr>
          <w:p w14:paraId="4B384A16">
            <w:pPr>
              <w:pStyle w:val="17"/>
              <w:ind w:firstLine="0" w:firstLineChars="0"/>
              <w:rPr>
                <w:szCs w:val="18"/>
              </w:rPr>
            </w:pPr>
            <w:r>
              <w:rPr>
                <w:rFonts w:hint="eastAsia"/>
                <w:szCs w:val="18"/>
              </w:rPr>
              <w:t>颗粒数量10（约0.5mm）</w:t>
            </w:r>
          </w:p>
        </w:tc>
        <w:tc>
          <w:tcPr>
            <w:tcW w:w="5674" w:type="dxa"/>
            <w:vAlign w:val="center"/>
          </w:tcPr>
          <w:p w14:paraId="3B3393A3">
            <w:pPr>
              <w:pStyle w:val="17"/>
              <w:ind w:firstLine="0" w:firstLineChars="0"/>
              <w:rPr>
                <w:szCs w:val="18"/>
              </w:rPr>
            </w:pPr>
            <w:r>
              <w:rPr>
                <w:rFonts w:hint="eastAsia"/>
                <w:szCs w:val="20"/>
              </w:rPr>
              <w:object>
                <v:shape id="_x0000_i1032" o:spt="75" alt="" type="#_x0000_t75" style="height:124.95pt;width:272.65pt;" o:ole="t" filled="f" o:preferrelative="t" stroked="f" coordsize="21600,21600">
                  <v:path/>
                  <v:fill on="f" focussize="0,0"/>
                  <v:stroke on="f"/>
                  <v:imagedata r:id="rId23" o:title=""/>
                  <o:lock v:ext="edit" aspectratio="t"/>
                  <w10:wrap type="none"/>
                  <w10:anchorlock/>
                </v:shape>
                <o:OLEObject Type="Embed" ProgID="Visio.Drawing.15" ShapeID="_x0000_i1032" DrawAspect="Content" ObjectID="_1468075732" r:id="rId22">
                  <o:LockedField>false</o:LockedField>
                </o:OLEObject>
              </w:object>
            </w:r>
          </w:p>
        </w:tc>
      </w:tr>
      <w:tr w14:paraId="6E5FC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522" w:type="dxa"/>
            <w:vMerge w:val="restart"/>
            <w:vAlign w:val="center"/>
          </w:tcPr>
          <w:p w14:paraId="5A701E1A">
            <w:pPr>
              <w:pStyle w:val="17"/>
              <w:ind w:firstLine="0" w:firstLineChars="0"/>
              <w:jc w:val="center"/>
              <w:rPr>
                <w:szCs w:val="18"/>
              </w:rPr>
            </w:pPr>
            <w:r>
              <w:rPr>
                <w:rFonts w:hint="eastAsia"/>
                <w:szCs w:val="18"/>
              </w:rPr>
              <w:t>绝缘件气隙缺陷</w:t>
            </w:r>
          </w:p>
        </w:tc>
        <w:tc>
          <w:tcPr>
            <w:tcW w:w="1172" w:type="dxa"/>
            <w:vAlign w:val="center"/>
          </w:tcPr>
          <w:p w14:paraId="647DDF0C">
            <w:pPr>
              <w:pStyle w:val="17"/>
              <w:ind w:firstLine="0" w:firstLineChars="0"/>
              <w:rPr>
                <w:szCs w:val="18"/>
              </w:rPr>
            </w:pPr>
            <w:r>
              <w:rPr>
                <w:rFonts w:hint="eastAsia"/>
                <w:szCs w:val="18"/>
              </w:rPr>
              <w:t>气隙（1.5mm）</w:t>
            </w:r>
          </w:p>
        </w:tc>
        <w:tc>
          <w:tcPr>
            <w:tcW w:w="5674" w:type="dxa"/>
            <w:vAlign w:val="center"/>
          </w:tcPr>
          <w:p w14:paraId="3DBA66F8">
            <w:pPr>
              <w:pStyle w:val="17"/>
              <w:ind w:firstLine="0" w:firstLineChars="0"/>
              <w:rPr>
                <w:szCs w:val="18"/>
              </w:rPr>
            </w:pPr>
            <w:r>
              <w:rPr>
                <w:rFonts w:hint="eastAsia"/>
                <w:szCs w:val="20"/>
              </w:rPr>
              <w:object>
                <v:shape id="_x0000_i1033" o:spt="75" alt="" type="#_x0000_t75" style="height:128.9pt;width:272.65pt;" o:ole="t" filled="f" o:preferrelative="t" stroked="f" coordsize="21600,21600">
                  <v:path/>
                  <v:fill on="f" focussize="0,0"/>
                  <v:stroke on="f"/>
                  <v:imagedata r:id="rId25" o:title=""/>
                  <o:lock v:ext="edit" aspectratio="t"/>
                  <w10:wrap type="none"/>
                  <w10:anchorlock/>
                </v:shape>
                <o:OLEObject Type="Embed" ProgID="Visio.Drawing.15" ShapeID="_x0000_i1033" DrawAspect="Content" ObjectID="_1468075733" r:id="rId24">
                  <o:LockedField>false</o:LockedField>
                </o:OLEObject>
              </w:object>
            </w:r>
          </w:p>
        </w:tc>
      </w:tr>
      <w:tr w14:paraId="74471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522" w:type="dxa"/>
            <w:vMerge w:val="continue"/>
            <w:vAlign w:val="center"/>
          </w:tcPr>
          <w:p w14:paraId="6EFD130C">
            <w:pPr>
              <w:pStyle w:val="17"/>
              <w:ind w:firstLine="0" w:firstLineChars="0"/>
              <w:rPr>
                <w:szCs w:val="18"/>
              </w:rPr>
            </w:pPr>
          </w:p>
        </w:tc>
        <w:tc>
          <w:tcPr>
            <w:tcW w:w="1172" w:type="dxa"/>
            <w:vAlign w:val="center"/>
          </w:tcPr>
          <w:p w14:paraId="4929B333">
            <w:pPr>
              <w:pStyle w:val="17"/>
              <w:ind w:firstLine="0" w:firstLineChars="0"/>
              <w:rPr>
                <w:szCs w:val="18"/>
              </w:rPr>
            </w:pPr>
            <w:r>
              <w:rPr>
                <w:rFonts w:hint="eastAsia"/>
                <w:szCs w:val="18"/>
              </w:rPr>
              <w:t>气隙（2.5mm）</w:t>
            </w:r>
          </w:p>
        </w:tc>
        <w:tc>
          <w:tcPr>
            <w:tcW w:w="5674" w:type="dxa"/>
            <w:vAlign w:val="center"/>
          </w:tcPr>
          <w:p w14:paraId="0DA46ACB">
            <w:pPr>
              <w:pStyle w:val="17"/>
              <w:ind w:firstLine="0" w:firstLineChars="0"/>
              <w:rPr>
                <w:szCs w:val="18"/>
              </w:rPr>
            </w:pPr>
            <w:r>
              <w:rPr>
                <w:rFonts w:hint="eastAsia"/>
                <w:szCs w:val="20"/>
              </w:rPr>
              <w:object>
                <v:shape id="_x0000_i1034" o:spt="75" alt="" type="#_x0000_t75" style="height:147.7pt;width:272.65pt;" o:ole="t" filled="f" o:preferrelative="t" stroked="f" coordsize="21600,21600">
                  <v:path/>
                  <v:fill on="f" focussize="0,0"/>
                  <v:stroke on="f"/>
                  <v:imagedata r:id="rId27" o:title=""/>
                  <o:lock v:ext="edit" aspectratio="t"/>
                  <w10:wrap type="none"/>
                  <w10:anchorlock/>
                </v:shape>
                <o:OLEObject Type="Embed" ProgID="Visio.Drawing.15" ShapeID="_x0000_i1034" DrawAspect="Content" ObjectID="_1468075734" r:id="rId26">
                  <o:LockedField>false</o:LockedField>
                </o:OLEObject>
              </w:object>
            </w:r>
          </w:p>
        </w:tc>
      </w:tr>
      <w:tr w14:paraId="37958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522" w:type="dxa"/>
            <w:vMerge w:val="continue"/>
            <w:vAlign w:val="center"/>
          </w:tcPr>
          <w:p w14:paraId="63E5B882">
            <w:pPr>
              <w:pStyle w:val="17"/>
              <w:ind w:firstLine="0" w:firstLineChars="0"/>
              <w:rPr>
                <w:szCs w:val="18"/>
              </w:rPr>
            </w:pPr>
          </w:p>
        </w:tc>
        <w:tc>
          <w:tcPr>
            <w:tcW w:w="1172" w:type="dxa"/>
            <w:vAlign w:val="center"/>
          </w:tcPr>
          <w:p w14:paraId="4A395CA7">
            <w:pPr>
              <w:pStyle w:val="17"/>
              <w:ind w:firstLine="0" w:firstLineChars="0"/>
              <w:rPr>
                <w:szCs w:val="18"/>
              </w:rPr>
            </w:pPr>
            <w:r>
              <w:rPr>
                <w:rFonts w:hint="eastAsia"/>
                <w:szCs w:val="18"/>
              </w:rPr>
              <w:t>气隙（5mm）</w:t>
            </w:r>
          </w:p>
        </w:tc>
        <w:tc>
          <w:tcPr>
            <w:tcW w:w="5674" w:type="dxa"/>
            <w:vAlign w:val="center"/>
          </w:tcPr>
          <w:p w14:paraId="30168174">
            <w:pPr>
              <w:pStyle w:val="17"/>
              <w:ind w:firstLine="0" w:firstLineChars="0"/>
              <w:rPr>
                <w:szCs w:val="18"/>
              </w:rPr>
            </w:pPr>
            <w:r>
              <w:rPr>
                <w:rFonts w:hint="eastAsia"/>
                <w:szCs w:val="20"/>
              </w:rPr>
              <w:object>
                <v:shape id="_x0000_i1035" o:spt="75" alt="" type="#_x0000_t75" style="height:128.05pt;width:272.65pt;" o:ole="t" filled="f" o:preferrelative="t" stroked="f" coordsize="21600,21600">
                  <v:path/>
                  <v:fill on="f" focussize="0,0"/>
                  <v:stroke on="f"/>
                  <v:imagedata r:id="rId29" o:title=""/>
                  <o:lock v:ext="edit" aspectratio="t"/>
                  <w10:wrap type="none"/>
                  <w10:anchorlock/>
                </v:shape>
                <o:OLEObject Type="Embed" ProgID="Visio.Drawing.15" ShapeID="_x0000_i1035" DrawAspect="Content" ObjectID="_1468075735" r:id="rId28">
                  <o:LockedField>false</o:LockedField>
                </o:OLEObject>
              </w:object>
            </w:r>
          </w:p>
        </w:tc>
      </w:tr>
      <w:tr w14:paraId="1C021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522" w:type="dxa"/>
            <w:vMerge w:val="restart"/>
            <w:vAlign w:val="center"/>
          </w:tcPr>
          <w:p w14:paraId="03139910">
            <w:pPr>
              <w:pStyle w:val="17"/>
              <w:ind w:firstLine="0" w:firstLineChars="0"/>
              <w:jc w:val="center"/>
              <w:rPr>
                <w:szCs w:val="18"/>
              </w:rPr>
            </w:pPr>
            <w:r>
              <w:rPr>
                <w:rFonts w:hint="eastAsia"/>
                <w:szCs w:val="18"/>
              </w:rPr>
              <w:t>绝缘件沿面缺陷</w:t>
            </w:r>
          </w:p>
        </w:tc>
        <w:tc>
          <w:tcPr>
            <w:tcW w:w="1172" w:type="dxa"/>
            <w:vAlign w:val="center"/>
          </w:tcPr>
          <w:p w14:paraId="069DB681">
            <w:pPr>
              <w:pStyle w:val="17"/>
              <w:ind w:firstLine="0" w:firstLineChars="0"/>
              <w:jc w:val="center"/>
              <w:rPr>
                <w:szCs w:val="18"/>
              </w:rPr>
            </w:pPr>
            <w:r>
              <w:rPr>
                <w:rFonts w:hint="eastAsia"/>
                <w:szCs w:val="18"/>
              </w:rPr>
              <w:t>金属丝（5mm）</w:t>
            </w:r>
          </w:p>
        </w:tc>
        <w:tc>
          <w:tcPr>
            <w:tcW w:w="5674" w:type="dxa"/>
            <w:vAlign w:val="center"/>
          </w:tcPr>
          <w:p w14:paraId="61DD7003">
            <w:pPr>
              <w:pStyle w:val="17"/>
              <w:ind w:firstLine="0" w:firstLineChars="0"/>
              <w:rPr>
                <w:szCs w:val="18"/>
              </w:rPr>
            </w:pPr>
            <w:r>
              <w:rPr>
                <w:rFonts w:hint="eastAsia"/>
                <w:szCs w:val="20"/>
              </w:rPr>
              <w:object>
                <v:shape id="_x0000_i1036" o:spt="75" alt="" type="#_x0000_t75" style="height:126.9pt;width:272.65pt;" o:ole="t" filled="f" o:preferrelative="t" stroked="f" coordsize="21600,21600">
                  <v:path/>
                  <v:fill on="f" focussize="0,0"/>
                  <v:stroke on="f"/>
                  <v:imagedata r:id="rId31" o:title=""/>
                  <o:lock v:ext="edit" aspectratio="t"/>
                  <w10:wrap type="none"/>
                  <w10:anchorlock/>
                </v:shape>
                <o:OLEObject Type="Embed" ProgID="Visio.Drawing.15" ShapeID="_x0000_i1036" DrawAspect="Content" ObjectID="_1468075736" r:id="rId30">
                  <o:LockedField>false</o:LockedField>
                </o:OLEObject>
              </w:object>
            </w:r>
          </w:p>
        </w:tc>
      </w:tr>
      <w:tr w14:paraId="682D8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522" w:type="dxa"/>
            <w:vMerge w:val="continue"/>
            <w:vAlign w:val="center"/>
          </w:tcPr>
          <w:p w14:paraId="60438AD5">
            <w:pPr>
              <w:pStyle w:val="17"/>
              <w:ind w:firstLine="0" w:firstLineChars="0"/>
              <w:rPr>
                <w:szCs w:val="18"/>
              </w:rPr>
            </w:pPr>
          </w:p>
        </w:tc>
        <w:tc>
          <w:tcPr>
            <w:tcW w:w="1172" w:type="dxa"/>
            <w:vAlign w:val="center"/>
          </w:tcPr>
          <w:p w14:paraId="12A26C04">
            <w:pPr>
              <w:pStyle w:val="17"/>
              <w:ind w:firstLine="0" w:firstLineChars="0"/>
              <w:jc w:val="center"/>
              <w:rPr>
                <w:szCs w:val="18"/>
              </w:rPr>
            </w:pPr>
            <w:r>
              <w:rPr>
                <w:rFonts w:hint="eastAsia"/>
                <w:szCs w:val="18"/>
              </w:rPr>
              <w:t>金属丝（10mm）</w:t>
            </w:r>
          </w:p>
        </w:tc>
        <w:tc>
          <w:tcPr>
            <w:tcW w:w="5674" w:type="dxa"/>
            <w:vAlign w:val="center"/>
          </w:tcPr>
          <w:p w14:paraId="41291E63">
            <w:pPr>
              <w:pStyle w:val="17"/>
              <w:ind w:firstLine="0" w:firstLineChars="0"/>
              <w:rPr>
                <w:szCs w:val="18"/>
              </w:rPr>
            </w:pPr>
            <w:r>
              <w:rPr>
                <w:rFonts w:hint="eastAsia"/>
                <w:szCs w:val="20"/>
              </w:rPr>
              <w:object>
                <v:shape id="_x0000_i1037" o:spt="75" alt="" type="#_x0000_t75" style="height:126.9pt;width:272.65pt;" o:ole="t" filled="f" o:preferrelative="t" stroked="f" coordsize="21600,21600">
                  <v:path/>
                  <v:fill on="f" focussize="0,0"/>
                  <v:stroke on="f"/>
                  <v:imagedata r:id="rId33" o:title=""/>
                  <o:lock v:ext="edit" aspectratio="t"/>
                  <w10:wrap type="none"/>
                  <w10:anchorlock/>
                </v:shape>
                <o:OLEObject Type="Embed" ProgID="Visio.Drawing.15" ShapeID="_x0000_i1037" DrawAspect="Content" ObjectID="_1468075737" r:id="rId32">
                  <o:LockedField>false</o:LockedField>
                </o:OLEObject>
              </w:object>
            </w:r>
          </w:p>
        </w:tc>
      </w:tr>
      <w:tr w14:paraId="0DFE2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6" w:hRule="atLeast"/>
          <w:jc w:val="center"/>
        </w:trPr>
        <w:tc>
          <w:tcPr>
            <w:tcW w:w="1522" w:type="dxa"/>
            <w:vMerge w:val="continue"/>
            <w:vAlign w:val="center"/>
          </w:tcPr>
          <w:p w14:paraId="3764281C">
            <w:pPr>
              <w:pStyle w:val="17"/>
              <w:ind w:firstLine="0" w:firstLineChars="0"/>
              <w:rPr>
                <w:szCs w:val="18"/>
              </w:rPr>
            </w:pPr>
          </w:p>
        </w:tc>
        <w:tc>
          <w:tcPr>
            <w:tcW w:w="1172" w:type="dxa"/>
            <w:vAlign w:val="center"/>
          </w:tcPr>
          <w:p w14:paraId="625BFA4A">
            <w:pPr>
              <w:pStyle w:val="17"/>
              <w:ind w:firstLine="0" w:firstLineChars="0"/>
              <w:jc w:val="center"/>
              <w:rPr>
                <w:szCs w:val="18"/>
              </w:rPr>
            </w:pPr>
            <w:r>
              <w:rPr>
                <w:rFonts w:hint="eastAsia"/>
                <w:szCs w:val="18"/>
              </w:rPr>
              <w:t>裂纹（7cm）</w:t>
            </w:r>
          </w:p>
        </w:tc>
        <w:tc>
          <w:tcPr>
            <w:tcW w:w="5674" w:type="dxa"/>
            <w:vAlign w:val="center"/>
          </w:tcPr>
          <w:p w14:paraId="545EF25C">
            <w:pPr>
              <w:pStyle w:val="17"/>
              <w:ind w:firstLine="0" w:firstLineChars="0"/>
              <w:rPr>
                <w:szCs w:val="18"/>
              </w:rPr>
            </w:pPr>
            <w:r>
              <w:rPr>
                <w:rFonts w:hint="eastAsia"/>
                <w:szCs w:val="20"/>
              </w:rPr>
              <w:object>
                <v:shape id="_x0000_i1038" o:spt="75" alt="" type="#_x0000_t75" style="height:113.85pt;width:272.65pt;" o:ole="t" filled="f" o:preferrelative="t" stroked="f" coordsize="21600,21600">
                  <v:path/>
                  <v:fill on="f" focussize="0,0"/>
                  <v:stroke on="f"/>
                  <v:imagedata r:id="rId35" o:title=""/>
                  <o:lock v:ext="edit" aspectratio="t"/>
                  <w10:wrap type="none"/>
                  <w10:anchorlock/>
                </v:shape>
                <o:OLEObject Type="Embed" ProgID="Visio.Drawing.15" ShapeID="_x0000_i1038" DrawAspect="Content" ObjectID="_1468075738" r:id="rId34">
                  <o:LockedField>false</o:LockedField>
                </o:OLEObject>
              </w:object>
            </w:r>
          </w:p>
        </w:tc>
      </w:tr>
      <w:tr w14:paraId="22F93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5" w:hRule="atLeast"/>
          <w:jc w:val="center"/>
        </w:trPr>
        <w:tc>
          <w:tcPr>
            <w:tcW w:w="1522" w:type="dxa"/>
            <w:vMerge w:val="continue"/>
            <w:vAlign w:val="center"/>
          </w:tcPr>
          <w:p w14:paraId="32A56090">
            <w:pPr>
              <w:pStyle w:val="17"/>
              <w:ind w:firstLine="0" w:firstLineChars="0"/>
              <w:rPr>
                <w:szCs w:val="18"/>
              </w:rPr>
            </w:pPr>
          </w:p>
        </w:tc>
        <w:tc>
          <w:tcPr>
            <w:tcW w:w="1172" w:type="dxa"/>
            <w:vAlign w:val="center"/>
          </w:tcPr>
          <w:p w14:paraId="1C3108A6">
            <w:pPr>
              <w:pStyle w:val="17"/>
              <w:ind w:firstLine="0" w:firstLineChars="0"/>
              <w:rPr>
                <w:szCs w:val="18"/>
              </w:rPr>
            </w:pPr>
            <w:r>
              <w:rPr>
                <w:rFonts w:hint="eastAsia"/>
                <w:szCs w:val="18"/>
              </w:rPr>
              <w:t>金属颗粒（高压侧单一颗粒）</w:t>
            </w:r>
          </w:p>
        </w:tc>
        <w:tc>
          <w:tcPr>
            <w:tcW w:w="5674" w:type="dxa"/>
            <w:vAlign w:val="center"/>
          </w:tcPr>
          <w:p w14:paraId="3B5861A2">
            <w:pPr>
              <w:pStyle w:val="17"/>
              <w:ind w:firstLine="0" w:firstLineChars="0"/>
              <w:rPr>
                <w:szCs w:val="18"/>
              </w:rPr>
            </w:pPr>
            <w:r>
              <w:rPr>
                <w:rFonts w:hint="eastAsia"/>
                <w:szCs w:val="20"/>
              </w:rPr>
              <w:object>
                <v:shape id="_x0000_i1039" o:spt="75" alt="" type="#_x0000_t75" style="height:125.5pt;width:272.65pt;" o:ole="t" filled="f" o:preferrelative="t" stroked="f" coordsize="21600,21600">
                  <v:path/>
                  <v:fill on="f" focussize="0,0"/>
                  <v:stroke on="f"/>
                  <v:imagedata r:id="rId37" o:title=""/>
                  <o:lock v:ext="edit" aspectratio="t"/>
                  <w10:wrap type="none"/>
                  <w10:anchorlock/>
                </v:shape>
                <o:OLEObject Type="Embed" ProgID="Visio.Drawing.15" ShapeID="_x0000_i1039" DrawAspect="Content" ObjectID="_1468075739" r:id="rId36">
                  <o:LockedField>false</o:LockedField>
                </o:OLEObject>
              </w:object>
            </w:r>
          </w:p>
        </w:tc>
      </w:tr>
      <w:tr w14:paraId="7E6DB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4" w:hRule="atLeast"/>
          <w:jc w:val="center"/>
        </w:trPr>
        <w:tc>
          <w:tcPr>
            <w:tcW w:w="1522" w:type="dxa"/>
            <w:vMerge w:val="continue"/>
            <w:vAlign w:val="center"/>
          </w:tcPr>
          <w:p w14:paraId="09F9D935">
            <w:pPr>
              <w:pStyle w:val="17"/>
              <w:ind w:firstLine="0" w:firstLineChars="0"/>
              <w:rPr>
                <w:szCs w:val="18"/>
              </w:rPr>
            </w:pPr>
          </w:p>
        </w:tc>
        <w:tc>
          <w:tcPr>
            <w:tcW w:w="1172" w:type="dxa"/>
            <w:vAlign w:val="center"/>
          </w:tcPr>
          <w:p w14:paraId="3FCBDD12">
            <w:pPr>
              <w:pStyle w:val="17"/>
              <w:ind w:firstLine="0" w:firstLineChars="0"/>
              <w:rPr>
                <w:szCs w:val="18"/>
              </w:rPr>
            </w:pPr>
            <w:r>
              <w:rPr>
                <w:rFonts w:hint="eastAsia"/>
                <w:szCs w:val="18"/>
              </w:rPr>
              <w:t>金属颗粒（低压侧团簇颗粒）</w:t>
            </w:r>
          </w:p>
        </w:tc>
        <w:tc>
          <w:tcPr>
            <w:tcW w:w="5674" w:type="dxa"/>
            <w:vAlign w:val="center"/>
          </w:tcPr>
          <w:p w14:paraId="70E9D1B4">
            <w:pPr>
              <w:pStyle w:val="17"/>
              <w:ind w:firstLine="0" w:firstLineChars="0"/>
              <w:rPr>
                <w:szCs w:val="18"/>
              </w:rPr>
            </w:pPr>
            <w:r>
              <w:rPr>
                <w:rFonts w:hint="eastAsia"/>
                <w:szCs w:val="20"/>
              </w:rPr>
              <w:object>
                <v:shape id="_x0000_i1040" o:spt="75" alt="" type="#_x0000_t75" style="height:132.05pt;width:272.65pt;" o:ole="t" filled="f" o:preferrelative="t" stroked="f" coordsize="21600,21600">
                  <v:path/>
                  <v:fill on="f" focussize="0,0"/>
                  <v:stroke on="f"/>
                  <v:imagedata r:id="rId39" o:title=""/>
                  <o:lock v:ext="edit" aspectratio="t"/>
                  <w10:wrap type="none"/>
                  <w10:anchorlock/>
                </v:shape>
                <o:OLEObject Type="Embed" ProgID="Visio.Drawing.15" ShapeID="_x0000_i1040" DrawAspect="Content" ObjectID="_1468075740" r:id="rId38">
                  <o:LockedField>false</o:LockedField>
                </o:OLEObject>
              </w:object>
            </w:r>
          </w:p>
        </w:tc>
      </w:tr>
      <w:tr w14:paraId="0DEC8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8" w:hRule="atLeast"/>
          <w:jc w:val="center"/>
        </w:trPr>
        <w:tc>
          <w:tcPr>
            <w:tcW w:w="1522" w:type="dxa"/>
            <w:vMerge w:val="continue"/>
            <w:vAlign w:val="center"/>
          </w:tcPr>
          <w:p w14:paraId="35A2AAEE">
            <w:pPr>
              <w:pStyle w:val="17"/>
              <w:ind w:firstLine="0" w:firstLineChars="0"/>
              <w:rPr>
                <w:szCs w:val="18"/>
              </w:rPr>
            </w:pPr>
          </w:p>
        </w:tc>
        <w:tc>
          <w:tcPr>
            <w:tcW w:w="1172" w:type="dxa"/>
            <w:vAlign w:val="center"/>
          </w:tcPr>
          <w:p w14:paraId="21337880">
            <w:pPr>
              <w:pStyle w:val="17"/>
              <w:ind w:firstLine="0" w:firstLineChars="0"/>
              <w:rPr>
                <w:szCs w:val="18"/>
              </w:rPr>
            </w:pPr>
            <w:r>
              <w:rPr>
                <w:rFonts w:hint="eastAsia"/>
                <w:szCs w:val="18"/>
              </w:rPr>
              <w:t>金属颗粒（中间团簇颗粒）</w:t>
            </w:r>
          </w:p>
        </w:tc>
        <w:tc>
          <w:tcPr>
            <w:tcW w:w="5674" w:type="dxa"/>
            <w:vAlign w:val="center"/>
          </w:tcPr>
          <w:p w14:paraId="31667B9A">
            <w:pPr>
              <w:pStyle w:val="17"/>
              <w:ind w:firstLine="0" w:firstLineChars="0"/>
              <w:rPr>
                <w:szCs w:val="18"/>
              </w:rPr>
            </w:pPr>
            <w:r>
              <w:rPr>
                <w:rFonts w:hint="eastAsia"/>
                <w:szCs w:val="20"/>
              </w:rPr>
              <w:object>
                <v:shape id="_x0000_i1041" o:spt="75" alt="" type="#_x0000_t75" style="height:119.55pt;width:272.65pt;" o:ole="t" filled="f" o:preferrelative="t" stroked="f" coordsize="21600,21600">
                  <v:path/>
                  <v:fill on="f" focussize="0,0"/>
                  <v:stroke on="f"/>
                  <v:imagedata r:id="rId41" o:title=""/>
                  <o:lock v:ext="edit" aspectratio="t"/>
                  <w10:wrap type="none"/>
                  <w10:anchorlock/>
                </v:shape>
                <o:OLEObject Type="Embed" ProgID="Visio.Drawing.15" ShapeID="_x0000_i1041" DrawAspect="Content" ObjectID="_1468075741" r:id="rId40">
                  <o:LockedField>false</o:LockedField>
                </o:OLEObject>
              </w:object>
            </w:r>
          </w:p>
        </w:tc>
      </w:tr>
      <w:tr w14:paraId="77DC0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0" w:hRule="atLeast"/>
          <w:jc w:val="center"/>
        </w:trPr>
        <w:tc>
          <w:tcPr>
            <w:tcW w:w="1522" w:type="dxa"/>
            <w:vMerge w:val="continue"/>
            <w:vAlign w:val="center"/>
          </w:tcPr>
          <w:p w14:paraId="2CD6157F">
            <w:pPr>
              <w:pStyle w:val="17"/>
              <w:ind w:firstLine="0" w:firstLineChars="0"/>
              <w:rPr>
                <w:szCs w:val="18"/>
              </w:rPr>
            </w:pPr>
          </w:p>
        </w:tc>
        <w:tc>
          <w:tcPr>
            <w:tcW w:w="1172" w:type="dxa"/>
            <w:vAlign w:val="center"/>
          </w:tcPr>
          <w:p w14:paraId="45B12075">
            <w:pPr>
              <w:pStyle w:val="17"/>
              <w:ind w:firstLine="0" w:firstLineChars="0"/>
              <w:rPr>
                <w:szCs w:val="18"/>
              </w:rPr>
            </w:pPr>
            <w:r>
              <w:rPr>
                <w:rFonts w:hint="eastAsia"/>
                <w:szCs w:val="18"/>
              </w:rPr>
              <w:t>金属颗粒（高压侧团簇颗粒）</w:t>
            </w:r>
          </w:p>
        </w:tc>
        <w:tc>
          <w:tcPr>
            <w:tcW w:w="5674" w:type="dxa"/>
            <w:vAlign w:val="center"/>
          </w:tcPr>
          <w:p w14:paraId="31EF4AC8">
            <w:pPr>
              <w:pStyle w:val="17"/>
              <w:ind w:firstLine="0" w:firstLineChars="0"/>
              <w:rPr>
                <w:szCs w:val="18"/>
              </w:rPr>
            </w:pPr>
            <w:r>
              <w:rPr>
                <w:szCs w:val="18"/>
              </w:rPr>
              <w:drawing>
                <wp:inline distT="0" distB="0" distL="0" distR="0">
                  <wp:extent cx="3465830" cy="1529080"/>
                  <wp:effectExtent l="0" t="0" r="12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2"/>
                          <a:stretch>
                            <a:fillRect/>
                          </a:stretch>
                        </pic:blipFill>
                        <pic:spPr>
                          <a:xfrm>
                            <a:off x="0" y="0"/>
                            <a:ext cx="3465830" cy="1529080"/>
                          </a:xfrm>
                          <a:prstGeom prst="rect">
                            <a:avLst/>
                          </a:prstGeom>
                        </pic:spPr>
                      </pic:pic>
                    </a:graphicData>
                  </a:graphic>
                </wp:inline>
              </w:drawing>
            </w:r>
          </w:p>
        </w:tc>
      </w:tr>
      <w:tr w14:paraId="6C7AE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8" w:hRule="atLeast"/>
          <w:jc w:val="center"/>
        </w:trPr>
        <w:tc>
          <w:tcPr>
            <w:tcW w:w="1522" w:type="dxa"/>
            <w:vMerge w:val="continue"/>
            <w:vAlign w:val="center"/>
          </w:tcPr>
          <w:p w14:paraId="5762FFEA">
            <w:pPr>
              <w:pStyle w:val="17"/>
              <w:ind w:firstLine="0" w:firstLineChars="0"/>
              <w:rPr>
                <w:szCs w:val="18"/>
              </w:rPr>
            </w:pPr>
          </w:p>
        </w:tc>
        <w:tc>
          <w:tcPr>
            <w:tcW w:w="1172" w:type="dxa"/>
            <w:vAlign w:val="center"/>
          </w:tcPr>
          <w:p w14:paraId="2A370423">
            <w:pPr>
              <w:pStyle w:val="17"/>
              <w:ind w:firstLine="0" w:firstLineChars="0"/>
              <w:rPr>
                <w:szCs w:val="18"/>
              </w:rPr>
            </w:pPr>
            <w:r>
              <w:rPr>
                <w:rFonts w:hint="eastAsia"/>
                <w:szCs w:val="18"/>
              </w:rPr>
              <w:t>金属颗粒（高压侧四周团簇颗粒）</w:t>
            </w:r>
          </w:p>
        </w:tc>
        <w:tc>
          <w:tcPr>
            <w:tcW w:w="5674" w:type="dxa"/>
            <w:vAlign w:val="center"/>
          </w:tcPr>
          <w:p w14:paraId="55251733">
            <w:pPr>
              <w:pStyle w:val="17"/>
              <w:ind w:firstLine="0" w:firstLineChars="0"/>
              <w:rPr>
                <w:szCs w:val="18"/>
              </w:rPr>
            </w:pPr>
            <w:r>
              <w:rPr>
                <w:rFonts w:hint="eastAsia"/>
                <w:szCs w:val="20"/>
              </w:rPr>
              <w:object>
                <v:shape id="_x0000_i1042" o:spt="75" alt="" type="#_x0000_t75" style="height:132.35pt;width:272.65pt;" o:ole="t" filled="f" o:preferrelative="t" stroked="f" coordsize="21600,21600">
                  <v:path/>
                  <v:fill on="f" focussize="0,0"/>
                  <v:stroke on="f"/>
                  <v:imagedata r:id="rId44" o:title=""/>
                  <o:lock v:ext="edit" aspectratio="t"/>
                  <w10:wrap type="none"/>
                  <w10:anchorlock/>
                </v:shape>
                <o:OLEObject Type="Embed" ProgID="Visio.Drawing.15" ShapeID="_x0000_i1042" DrawAspect="Content" ObjectID="_1468075742" r:id="rId43">
                  <o:LockedField>false</o:LockedField>
                </o:OLEObject>
              </w:object>
            </w:r>
          </w:p>
        </w:tc>
      </w:tr>
      <w:tr w14:paraId="460D6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2" w:hRule="atLeast"/>
          <w:jc w:val="center"/>
        </w:trPr>
        <w:tc>
          <w:tcPr>
            <w:tcW w:w="1522" w:type="dxa"/>
            <w:vMerge w:val="continue"/>
            <w:vAlign w:val="center"/>
          </w:tcPr>
          <w:p w14:paraId="518A81A7">
            <w:pPr>
              <w:pStyle w:val="17"/>
              <w:ind w:firstLine="0" w:firstLineChars="0"/>
              <w:rPr>
                <w:szCs w:val="18"/>
              </w:rPr>
            </w:pPr>
          </w:p>
        </w:tc>
        <w:tc>
          <w:tcPr>
            <w:tcW w:w="1172" w:type="dxa"/>
            <w:vAlign w:val="center"/>
          </w:tcPr>
          <w:p w14:paraId="1443A62A">
            <w:pPr>
              <w:pStyle w:val="17"/>
              <w:ind w:firstLine="0" w:firstLineChars="0"/>
              <w:jc w:val="center"/>
              <w:rPr>
                <w:szCs w:val="18"/>
              </w:rPr>
            </w:pPr>
            <w:r>
              <w:rPr>
                <w:rFonts w:hint="eastAsia"/>
                <w:szCs w:val="18"/>
              </w:rPr>
              <w:t>金属粉末污染</w:t>
            </w:r>
          </w:p>
        </w:tc>
        <w:tc>
          <w:tcPr>
            <w:tcW w:w="5674" w:type="dxa"/>
            <w:vAlign w:val="center"/>
          </w:tcPr>
          <w:p w14:paraId="60E6DEEE">
            <w:pPr>
              <w:pStyle w:val="17"/>
              <w:ind w:firstLine="0" w:firstLineChars="0"/>
              <w:rPr>
                <w:szCs w:val="18"/>
              </w:rPr>
            </w:pPr>
            <w:r>
              <w:rPr>
                <w:rFonts w:hint="eastAsia"/>
                <w:szCs w:val="20"/>
              </w:rPr>
              <w:object>
                <v:shape id="_x0000_i1043" o:spt="75" alt="" type="#_x0000_t75" style="height:132.35pt;width:272.65pt;" o:ole="t" filled="f" o:preferrelative="t" stroked="f" coordsize="21600,21600">
                  <v:path/>
                  <v:fill on="f" focussize="0,0"/>
                  <v:stroke on="f"/>
                  <v:imagedata r:id="rId46" o:title=""/>
                  <o:lock v:ext="edit" aspectratio="t"/>
                  <w10:wrap type="none"/>
                  <w10:anchorlock/>
                </v:shape>
                <o:OLEObject Type="Embed" ProgID="Visio.Drawing.15" ShapeID="_x0000_i1043" DrawAspect="Content" ObjectID="_1468075743" r:id="rId45">
                  <o:LockedField>false</o:LockedField>
                </o:OLEObject>
              </w:object>
            </w:r>
          </w:p>
        </w:tc>
      </w:tr>
      <w:tr w14:paraId="299C9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522" w:type="dxa"/>
            <w:vMerge w:val="restart"/>
            <w:vAlign w:val="center"/>
          </w:tcPr>
          <w:p w14:paraId="5D43C64B">
            <w:pPr>
              <w:pStyle w:val="17"/>
              <w:ind w:firstLine="0" w:firstLineChars="0"/>
              <w:jc w:val="center"/>
              <w:rPr>
                <w:szCs w:val="18"/>
              </w:rPr>
            </w:pPr>
            <w:r>
              <w:rPr>
                <w:rFonts w:hint="eastAsia"/>
                <w:szCs w:val="18"/>
              </w:rPr>
              <w:t>金属尖端</w:t>
            </w:r>
          </w:p>
        </w:tc>
        <w:tc>
          <w:tcPr>
            <w:tcW w:w="1172" w:type="dxa"/>
            <w:vAlign w:val="center"/>
          </w:tcPr>
          <w:p w14:paraId="3F6B1061">
            <w:pPr>
              <w:pStyle w:val="17"/>
              <w:ind w:firstLine="0" w:firstLineChars="0"/>
              <w:jc w:val="center"/>
              <w:rPr>
                <w:szCs w:val="18"/>
              </w:rPr>
            </w:pPr>
            <w:r>
              <w:rPr>
                <w:rFonts w:hint="eastAsia"/>
                <w:szCs w:val="18"/>
              </w:rPr>
              <w:t>高压导体尖端</w:t>
            </w:r>
          </w:p>
        </w:tc>
        <w:tc>
          <w:tcPr>
            <w:tcW w:w="5674" w:type="dxa"/>
            <w:vAlign w:val="center"/>
          </w:tcPr>
          <w:p w14:paraId="117DED74">
            <w:pPr>
              <w:pStyle w:val="17"/>
              <w:ind w:firstLine="0" w:firstLineChars="0"/>
              <w:rPr>
                <w:szCs w:val="18"/>
              </w:rPr>
            </w:pPr>
            <w:r>
              <w:rPr>
                <w:rFonts w:hint="eastAsia"/>
                <w:szCs w:val="20"/>
              </w:rPr>
              <w:object>
                <v:shape id="_x0000_i1044" o:spt="75" alt="" type="#_x0000_t75" style="height:130.35pt;width:272.65pt;" o:ole="t" filled="f" o:preferrelative="t" stroked="f" coordsize="21600,21600">
                  <v:path/>
                  <v:fill on="f" focussize="0,0"/>
                  <v:stroke on="f"/>
                  <v:imagedata r:id="rId48" o:title=""/>
                  <o:lock v:ext="edit" aspectratio="t"/>
                  <w10:wrap type="none"/>
                  <w10:anchorlock/>
                </v:shape>
                <o:OLEObject Type="Embed" ProgID="Visio.Drawing.15" ShapeID="_x0000_i1044" DrawAspect="Content" ObjectID="_1468075744" r:id="rId47">
                  <o:LockedField>false</o:LockedField>
                </o:OLEObject>
              </w:object>
            </w:r>
          </w:p>
        </w:tc>
      </w:tr>
      <w:tr w14:paraId="05CD6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522" w:type="dxa"/>
            <w:vMerge w:val="continue"/>
            <w:vAlign w:val="center"/>
          </w:tcPr>
          <w:p w14:paraId="57AD6CB2">
            <w:pPr>
              <w:pStyle w:val="17"/>
              <w:ind w:firstLine="0" w:firstLineChars="0"/>
              <w:rPr>
                <w:rFonts w:hint="eastAsia"/>
                <w:szCs w:val="18"/>
              </w:rPr>
            </w:pPr>
          </w:p>
        </w:tc>
        <w:tc>
          <w:tcPr>
            <w:tcW w:w="1172" w:type="dxa"/>
            <w:vAlign w:val="center"/>
          </w:tcPr>
          <w:p w14:paraId="7D3C1781">
            <w:pPr>
              <w:pStyle w:val="17"/>
              <w:ind w:firstLine="0" w:firstLineChars="0"/>
              <w:jc w:val="center"/>
              <w:rPr>
                <w:rFonts w:hint="eastAsia"/>
                <w:szCs w:val="18"/>
              </w:rPr>
            </w:pPr>
            <w:r>
              <w:rPr>
                <w:rFonts w:hint="eastAsia"/>
                <w:szCs w:val="18"/>
              </w:rPr>
              <w:t>接地壳体尖端</w:t>
            </w:r>
          </w:p>
        </w:tc>
        <w:tc>
          <w:tcPr>
            <w:tcW w:w="5674" w:type="dxa"/>
            <w:vAlign w:val="center"/>
          </w:tcPr>
          <w:p w14:paraId="5D1BE2B0">
            <w:pPr>
              <w:pStyle w:val="17"/>
              <w:ind w:firstLine="0" w:firstLineChars="0"/>
              <w:rPr>
                <w:rFonts w:hint="eastAsia"/>
                <w:szCs w:val="18"/>
              </w:rPr>
            </w:pPr>
            <w:r>
              <w:rPr>
                <w:rFonts w:hint="eastAsia"/>
                <w:szCs w:val="18"/>
              </w:rPr>
              <w:object>
                <v:shape id="_x0000_i1045" o:spt="75" alt="" type="#_x0000_t75" style="height:149.4pt;width:272.65pt;" o:ole="t" filled="f" o:preferrelative="t" stroked="f" coordsize="21600,21600">
                  <v:path/>
                  <v:fill on="f" focussize="0,0"/>
                  <v:stroke on="f"/>
                  <v:imagedata r:id="rId50" o:title=""/>
                  <o:lock v:ext="edit" aspectratio="t"/>
                  <w10:wrap type="none"/>
                  <w10:anchorlock/>
                </v:shape>
                <o:OLEObject Type="Embed" ProgID="Visio.Drawing.15" ShapeID="_x0000_i1045" DrawAspect="Content" ObjectID="_1468075745" r:id="rId49">
                  <o:LockedField>false</o:LockedField>
                </o:OLEObject>
              </w:object>
            </w:r>
          </w:p>
        </w:tc>
      </w:tr>
      <w:tr w14:paraId="4CD6D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3" w:hRule="atLeast"/>
          <w:jc w:val="center"/>
        </w:trPr>
        <w:tc>
          <w:tcPr>
            <w:tcW w:w="1522" w:type="dxa"/>
            <w:vAlign w:val="center"/>
          </w:tcPr>
          <w:p w14:paraId="42AD553B">
            <w:pPr>
              <w:pStyle w:val="17"/>
              <w:ind w:firstLine="0" w:firstLineChars="0"/>
              <w:rPr>
                <w:szCs w:val="18"/>
              </w:rPr>
            </w:pPr>
            <w:r>
              <w:rPr>
                <w:rFonts w:hint="eastAsia"/>
                <w:szCs w:val="18"/>
              </w:rPr>
              <w:t>悬浮电位</w:t>
            </w:r>
          </w:p>
        </w:tc>
        <w:tc>
          <w:tcPr>
            <w:tcW w:w="1172" w:type="dxa"/>
            <w:vAlign w:val="center"/>
          </w:tcPr>
          <w:p w14:paraId="69C0789E">
            <w:pPr>
              <w:pStyle w:val="17"/>
              <w:ind w:firstLine="0" w:firstLineChars="0"/>
              <w:rPr>
                <w:szCs w:val="18"/>
              </w:rPr>
            </w:pPr>
            <w:r>
              <w:rPr>
                <w:rFonts w:hint="eastAsia"/>
                <w:szCs w:val="18"/>
              </w:rPr>
              <w:t>均压罩螺栓松动</w:t>
            </w:r>
          </w:p>
        </w:tc>
        <w:tc>
          <w:tcPr>
            <w:tcW w:w="5674" w:type="dxa"/>
            <w:vAlign w:val="center"/>
          </w:tcPr>
          <w:p w14:paraId="03B558D8">
            <w:pPr>
              <w:pStyle w:val="17"/>
              <w:ind w:firstLine="0" w:firstLineChars="0"/>
              <w:rPr>
                <w:szCs w:val="18"/>
              </w:rPr>
            </w:pPr>
            <w:r>
              <w:rPr>
                <w:szCs w:val="18"/>
              </w:rPr>
              <w:drawing>
                <wp:inline distT="0" distB="0" distL="0" distR="0">
                  <wp:extent cx="3465830" cy="1440180"/>
                  <wp:effectExtent l="0" t="0" r="127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1"/>
                          <a:stretch>
                            <a:fillRect/>
                          </a:stretch>
                        </pic:blipFill>
                        <pic:spPr>
                          <a:xfrm>
                            <a:off x="0" y="0"/>
                            <a:ext cx="3465830" cy="1440180"/>
                          </a:xfrm>
                          <a:prstGeom prst="rect">
                            <a:avLst/>
                          </a:prstGeom>
                        </pic:spPr>
                      </pic:pic>
                    </a:graphicData>
                  </a:graphic>
                </wp:inline>
              </w:drawing>
            </w:r>
          </w:p>
        </w:tc>
      </w:tr>
    </w:tbl>
    <w:p w14:paraId="7DF2D371"/>
    <w:p w14:paraId="1DA5EA37"/>
    <w:p w14:paraId="3E922986">
      <w:pPr>
        <w:jc w:val="center"/>
        <w:rPr>
          <w:rFonts w:hint="eastAsia" w:ascii="黑体" w:hAnsi="黑体" w:eastAsia="黑体"/>
        </w:rPr>
      </w:pPr>
      <w:r>
        <w:rPr>
          <w:rFonts w:hint="eastAsia" w:ascii="黑体" w:hAnsi="黑体" w:eastAsia="黑体"/>
        </w:rPr>
        <w:t>表B.3实验室模拟典型组合缺陷局部放电特高频信号PRPD图谱（1min）</w:t>
      </w:r>
    </w:p>
    <w:tbl>
      <w:tblPr>
        <w:tblStyle w:val="2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263"/>
        <w:gridCol w:w="6744"/>
      </w:tblGrid>
      <w:tr w14:paraId="754E5E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6" w:hRule="atLeast"/>
        </w:trPr>
        <w:tc>
          <w:tcPr>
            <w:tcW w:w="2263" w:type="dxa"/>
            <w:vAlign w:val="center"/>
          </w:tcPr>
          <w:p w14:paraId="32CC2A64">
            <w:pPr>
              <w:spacing w:before="156" w:beforeLines="50" w:after="156" w:afterLines="50"/>
              <w:jc w:val="center"/>
              <w:outlineLvl w:val="0"/>
              <w:rPr>
                <w:rFonts w:ascii="宋体" w:eastAsia="黑体"/>
                <w:b/>
                <w:sz w:val="24"/>
              </w:rPr>
            </w:pPr>
            <w:r>
              <w:rPr>
                <w:rFonts w:hint="eastAsia" w:ascii="宋体"/>
                <w:szCs w:val="18"/>
              </w:rPr>
              <w:t>缺陷类型</w:t>
            </w:r>
          </w:p>
        </w:tc>
        <w:tc>
          <w:tcPr>
            <w:tcW w:w="6744" w:type="dxa"/>
            <w:vAlign w:val="center"/>
          </w:tcPr>
          <w:p w14:paraId="66F6E65A">
            <w:pPr>
              <w:spacing w:before="156" w:beforeLines="50" w:after="156" w:afterLines="50"/>
              <w:jc w:val="center"/>
              <w:outlineLvl w:val="0"/>
              <w:rPr>
                <w:rFonts w:ascii="宋体" w:eastAsia="黑体"/>
                <w:b/>
                <w:sz w:val="24"/>
              </w:rPr>
            </w:pPr>
            <w:r>
              <w:rPr>
                <w:rFonts w:hint="eastAsia" w:ascii="宋体"/>
                <w:szCs w:val="18"/>
              </w:rPr>
              <w:t>典型图谱</w:t>
            </w:r>
          </w:p>
        </w:tc>
      </w:tr>
      <w:tr w14:paraId="18DBAB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74" w:hRule="atLeast"/>
        </w:trPr>
        <w:tc>
          <w:tcPr>
            <w:tcW w:w="2263" w:type="dxa"/>
            <w:vAlign w:val="center"/>
          </w:tcPr>
          <w:p w14:paraId="3889DA69">
            <w:pPr>
              <w:spacing w:before="156" w:beforeLines="50" w:after="156" w:afterLines="50"/>
              <w:jc w:val="center"/>
              <w:outlineLvl w:val="0"/>
              <w:rPr>
                <w:rFonts w:ascii="宋体" w:eastAsia="黑体"/>
                <w:b/>
                <w:sz w:val="24"/>
              </w:rPr>
            </w:pPr>
            <w:r>
              <w:rPr>
                <w:rFonts w:hint="eastAsia" w:ascii="宋体"/>
                <w:szCs w:val="18"/>
              </w:rPr>
              <w:t>绝缘件裂纹+金属粉末污染</w:t>
            </w:r>
          </w:p>
        </w:tc>
        <w:tc>
          <w:tcPr>
            <w:tcW w:w="6744" w:type="dxa"/>
            <w:vAlign w:val="center"/>
          </w:tcPr>
          <w:p w14:paraId="4612CEF2">
            <w:pPr>
              <w:spacing w:before="156" w:beforeLines="50" w:after="156" w:afterLines="50"/>
              <w:jc w:val="center"/>
              <w:outlineLvl w:val="0"/>
              <w:rPr>
                <w:rFonts w:ascii="宋体" w:eastAsia="黑体"/>
                <w:b/>
                <w:sz w:val="24"/>
              </w:rPr>
            </w:pPr>
            <w:r>
              <w:rPr>
                <w:rFonts w:hint="eastAsia" w:ascii="宋体"/>
              </w:rPr>
              <w:object>
                <v:shape id="_x0000_i1046" o:spt="75" alt="" type="#_x0000_t75" style="height:134.6pt;width:290.85pt;" o:ole="t" filled="f" o:preferrelative="t" stroked="f" coordsize="21600,21600">
                  <v:path/>
                  <v:fill on="f" focussize="0,0"/>
                  <v:stroke on="f"/>
                  <v:imagedata r:id="rId53" o:title=""/>
                  <o:lock v:ext="edit" aspectratio="t"/>
                  <w10:wrap type="none"/>
                  <w10:anchorlock/>
                </v:shape>
                <o:OLEObject Type="Embed" ProgID="Visio.Drawing.15" ShapeID="_x0000_i1046" DrawAspect="Content" ObjectID="_1468075746" r:id="rId52">
                  <o:LockedField>false</o:LockedField>
                </o:OLEObject>
              </w:object>
            </w:r>
          </w:p>
        </w:tc>
      </w:tr>
      <w:tr w14:paraId="15C89B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9" w:hRule="atLeast"/>
        </w:trPr>
        <w:tc>
          <w:tcPr>
            <w:tcW w:w="2263" w:type="dxa"/>
            <w:vAlign w:val="center"/>
          </w:tcPr>
          <w:p w14:paraId="77AD0BC0">
            <w:pPr>
              <w:spacing w:before="156" w:beforeLines="50" w:after="156" w:afterLines="50"/>
              <w:jc w:val="center"/>
              <w:outlineLvl w:val="0"/>
              <w:rPr>
                <w:rFonts w:ascii="宋体" w:eastAsia="黑体"/>
                <w:b/>
                <w:sz w:val="24"/>
              </w:rPr>
            </w:pPr>
            <w:r>
              <w:rPr>
                <w:rFonts w:hint="eastAsia" w:ascii="宋体"/>
                <w:szCs w:val="18"/>
              </w:rPr>
              <w:t>均压罩螺栓松动+金属粉末污染</w:t>
            </w:r>
          </w:p>
        </w:tc>
        <w:tc>
          <w:tcPr>
            <w:tcW w:w="6744" w:type="dxa"/>
            <w:vAlign w:val="center"/>
          </w:tcPr>
          <w:p w14:paraId="45EE60EB">
            <w:pPr>
              <w:spacing w:before="156" w:beforeLines="50" w:after="156" w:afterLines="50"/>
              <w:jc w:val="center"/>
              <w:outlineLvl w:val="0"/>
              <w:rPr>
                <w:rFonts w:ascii="宋体" w:eastAsia="黑体"/>
                <w:b/>
                <w:sz w:val="24"/>
              </w:rPr>
            </w:pPr>
            <w:r>
              <w:rPr>
                <w:rFonts w:hint="eastAsia" w:ascii="宋体"/>
              </w:rPr>
              <w:object>
                <v:shape id="_x0000_i1047" o:spt="75" alt="" type="#_x0000_t75" style="height:140.85pt;width:290.55pt;" o:ole="t" filled="f" o:preferrelative="t" stroked="f" coordsize="21600,21600">
                  <v:path/>
                  <v:fill on="f" focussize="0,0"/>
                  <v:stroke on="f"/>
                  <v:imagedata r:id="rId55" o:title=""/>
                  <o:lock v:ext="edit" aspectratio="t"/>
                  <w10:wrap type="none"/>
                  <w10:anchorlock/>
                </v:shape>
                <o:OLEObject Type="Embed" ProgID="Visio.Drawing.15" ShapeID="_x0000_i1047" DrawAspect="Content" ObjectID="_1468075747" r:id="rId54">
                  <o:LockedField>false</o:LockedField>
                </o:OLEObject>
              </w:object>
            </w:r>
          </w:p>
        </w:tc>
      </w:tr>
      <w:tr w14:paraId="44CB8F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9" w:hRule="atLeast"/>
        </w:trPr>
        <w:tc>
          <w:tcPr>
            <w:tcW w:w="2263" w:type="dxa"/>
            <w:vAlign w:val="center"/>
          </w:tcPr>
          <w:p w14:paraId="28040AEB">
            <w:pPr>
              <w:spacing w:before="156" w:beforeLines="50" w:after="156" w:afterLines="50"/>
              <w:jc w:val="center"/>
              <w:outlineLvl w:val="0"/>
              <w:rPr>
                <w:rFonts w:ascii="宋体" w:eastAsia="黑体"/>
                <w:b/>
                <w:sz w:val="24"/>
              </w:rPr>
            </w:pPr>
            <w:r>
              <w:rPr>
                <w:rFonts w:hint="eastAsia" w:ascii="宋体"/>
                <w:szCs w:val="21"/>
              </w:rPr>
              <w:t>绝缘件气隙+自由颗粒</w:t>
            </w:r>
          </w:p>
        </w:tc>
        <w:tc>
          <w:tcPr>
            <w:tcW w:w="6744" w:type="dxa"/>
            <w:vAlign w:val="center"/>
          </w:tcPr>
          <w:p w14:paraId="6EC04B57">
            <w:pPr>
              <w:spacing w:before="156" w:beforeLines="50" w:after="156" w:afterLines="50"/>
              <w:jc w:val="center"/>
              <w:outlineLvl w:val="0"/>
              <w:rPr>
                <w:rFonts w:ascii="宋体" w:eastAsia="黑体"/>
                <w:b/>
                <w:sz w:val="24"/>
              </w:rPr>
            </w:pPr>
            <w:r>
              <w:rPr>
                <w:rFonts w:hint="eastAsia" w:ascii="宋体"/>
              </w:rPr>
              <w:object>
                <v:shape id="_x0000_i1048" o:spt="75" alt="" type="#_x0000_t75" style="height:126.9pt;width:290.55pt;" o:ole="t" filled="f" o:preferrelative="t" stroked="f" coordsize="21600,21600">
                  <v:path/>
                  <v:fill on="f" focussize="0,0"/>
                  <v:stroke on="f"/>
                  <v:imagedata r:id="rId57" o:title=""/>
                  <o:lock v:ext="edit" aspectratio="t"/>
                  <w10:wrap type="none"/>
                  <w10:anchorlock/>
                </v:shape>
                <o:OLEObject Type="Embed" ProgID="Visio.Drawing.15" ShapeID="_x0000_i1048" DrawAspect="Content" ObjectID="_1468075748" r:id="rId56">
                  <o:LockedField>false</o:LockedField>
                </o:OLEObject>
              </w:object>
            </w:r>
          </w:p>
        </w:tc>
      </w:tr>
      <w:tr w14:paraId="439C5C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9" w:hRule="atLeast"/>
        </w:trPr>
        <w:tc>
          <w:tcPr>
            <w:tcW w:w="2263" w:type="dxa"/>
            <w:vAlign w:val="center"/>
          </w:tcPr>
          <w:p w14:paraId="47323CC7">
            <w:pPr>
              <w:spacing w:before="156" w:beforeLines="50" w:after="156" w:afterLines="50"/>
              <w:jc w:val="center"/>
              <w:outlineLvl w:val="0"/>
              <w:rPr>
                <w:rFonts w:ascii="宋体" w:eastAsia="黑体"/>
                <w:b/>
                <w:sz w:val="24"/>
              </w:rPr>
            </w:pPr>
            <w:r>
              <w:rPr>
                <w:rFonts w:hint="eastAsia" w:ascii="宋体"/>
                <w:szCs w:val="21"/>
              </w:rPr>
              <w:t>绝缘件气隙+尖端</w:t>
            </w:r>
          </w:p>
        </w:tc>
        <w:tc>
          <w:tcPr>
            <w:tcW w:w="6744" w:type="dxa"/>
            <w:vAlign w:val="center"/>
          </w:tcPr>
          <w:p w14:paraId="29852214">
            <w:pPr>
              <w:spacing w:before="156" w:beforeLines="50" w:after="156" w:afterLines="50"/>
              <w:jc w:val="center"/>
              <w:outlineLvl w:val="0"/>
              <w:rPr>
                <w:rFonts w:ascii="宋体" w:eastAsia="黑体"/>
                <w:b/>
                <w:sz w:val="24"/>
              </w:rPr>
            </w:pPr>
            <w:r>
              <w:rPr>
                <w:rFonts w:hint="eastAsia" w:ascii="宋体"/>
              </w:rPr>
              <w:object>
                <v:shape id="_x0000_i1049" o:spt="75" alt="" type="#_x0000_t75" style="height:145.7pt;width:290.55pt;" o:ole="t" filled="f" o:preferrelative="t" stroked="f" coordsize="21600,21600">
                  <v:path/>
                  <v:fill on="f" focussize="0,0"/>
                  <v:stroke on="f"/>
                  <v:imagedata r:id="rId59" o:title=""/>
                  <o:lock v:ext="edit" aspectratio="t"/>
                  <w10:wrap type="none"/>
                  <w10:anchorlock/>
                </v:shape>
                <o:OLEObject Type="Embed" ProgID="Visio.Drawing.15" ShapeID="_x0000_i1049" DrawAspect="Content" ObjectID="_1468075749" r:id="rId58">
                  <o:LockedField>false</o:LockedField>
                </o:OLEObject>
              </w:object>
            </w:r>
          </w:p>
        </w:tc>
      </w:tr>
      <w:tr w14:paraId="389736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9" w:hRule="atLeast"/>
        </w:trPr>
        <w:tc>
          <w:tcPr>
            <w:tcW w:w="2263" w:type="dxa"/>
            <w:vAlign w:val="center"/>
          </w:tcPr>
          <w:p w14:paraId="76A1327B">
            <w:pPr>
              <w:spacing w:before="156" w:beforeLines="50" w:after="156" w:afterLines="50"/>
              <w:jc w:val="center"/>
              <w:outlineLvl w:val="0"/>
              <w:rPr>
                <w:rFonts w:ascii="宋体"/>
                <w:szCs w:val="21"/>
              </w:rPr>
            </w:pPr>
            <w:r>
              <w:rPr>
                <w:rFonts w:hint="eastAsia" w:ascii="宋体"/>
              </w:rPr>
              <w:t>绝缘</w:t>
            </w:r>
            <w:r>
              <w:rPr>
                <w:rFonts w:hint="eastAsia" w:ascii="宋体"/>
                <w:szCs w:val="21"/>
              </w:rPr>
              <w:t>件</w:t>
            </w:r>
            <w:r>
              <w:rPr>
                <w:rFonts w:hint="eastAsia" w:ascii="宋体"/>
              </w:rPr>
              <w:t>气隙+螺栓松动+金属粉末</w:t>
            </w:r>
          </w:p>
        </w:tc>
        <w:tc>
          <w:tcPr>
            <w:tcW w:w="6744" w:type="dxa"/>
            <w:vAlign w:val="center"/>
          </w:tcPr>
          <w:p w14:paraId="0BF52637">
            <w:pPr>
              <w:spacing w:before="156" w:beforeLines="50" w:after="156" w:afterLines="50"/>
              <w:jc w:val="center"/>
              <w:outlineLvl w:val="0"/>
              <w:rPr>
                <w:rFonts w:ascii="宋体" w:eastAsia="黑体"/>
                <w:b/>
                <w:sz w:val="24"/>
              </w:rPr>
            </w:pPr>
            <w:r>
              <w:rPr>
                <w:rFonts w:hint="eastAsia" w:ascii="宋体"/>
              </w:rPr>
              <w:object>
                <v:shape id="_x0000_i1050" o:spt="75" alt="" type="#_x0000_t75" style="height:133.45pt;width:290.55pt;" o:ole="t" filled="f" o:preferrelative="t" stroked="f" coordsize="21600,21600">
                  <v:path/>
                  <v:fill on="f" focussize="0,0"/>
                  <v:stroke on="f"/>
                  <v:imagedata r:id="rId61" o:title=""/>
                  <o:lock v:ext="edit" aspectratio="t"/>
                  <w10:wrap type="none"/>
                  <w10:anchorlock/>
                </v:shape>
                <o:OLEObject Type="Embed" ProgID="Visio.Drawing.15" ShapeID="_x0000_i1050" DrawAspect="Content" ObjectID="_1468075750" r:id="rId60">
                  <o:LockedField>false</o:LockedField>
                </o:OLEObject>
              </w:object>
            </w:r>
          </w:p>
        </w:tc>
      </w:tr>
      <w:tr w14:paraId="4F7E91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9" w:hRule="atLeast"/>
        </w:trPr>
        <w:tc>
          <w:tcPr>
            <w:tcW w:w="2263" w:type="dxa"/>
            <w:vAlign w:val="center"/>
          </w:tcPr>
          <w:p w14:paraId="0A690078">
            <w:pPr>
              <w:spacing w:before="156" w:beforeLines="50" w:after="156" w:afterLines="50"/>
              <w:jc w:val="center"/>
              <w:outlineLvl w:val="0"/>
              <w:rPr>
                <w:rFonts w:ascii="宋体"/>
                <w:szCs w:val="21"/>
              </w:rPr>
            </w:pPr>
            <w:r>
              <w:rPr>
                <w:rFonts w:hint="eastAsia" w:ascii="宋体"/>
              </w:rPr>
              <w:t>绝缘</w:t>
            </w:r>
            <w:r>
              <w:rPr>
                <w:rFonts w:hint="eastAsia" w:ascii="宋体"/>
                <w:szCs w:val="21"/>
              </w:rPr>
              <w:t>件</w:t>
            </w:r>
            <w:r>
              <w:rPr>
                <w:rFonts w:hint="eastAsia" w:ascii="宋体"/>
              </w:rPr>
              <w:t>气隙+高压侧沿面金属颗粒</w:t>
            </w:r>
          </w:p>
        </w:tc>
        <w:tc>
          <w:tcPr>
            <w:tcW w:w="6744" w:type="dxa"/>
            <w:vAlign w:val="center"/>
          </w:tcPr>
          <w:p w14:paraId="05F41B3A">
            <w:pPr>
              <w:spacing w:before="156" w:beforeLines="50" w:after="156" w:afterLines="50"/>
              <w:jc w:val="center"/>
              <w:outlineLvl w:val="0"/>
              <w:rPr>
                <w:rFonts w:ascii="宋体" w:eastAsia="黑体"/>
                <w:b/>
                <w:sz w:val="24"/>
              </w:rPr>
            </w:pPr>
            <w:r>
              <w:rPr>
                <w:rFonts w:hint="eastAsia" w:ascii="宋体"/>
              </w:rPr>
              <w:object>
                <v:shape id="_x0000_i1051" o:spt="75" alt="" type="#_x0000_t75" style="height:122.1pt;width:290.85pt;" o:ole="t" filled="f" o:preferrelative="t" stroked="f" coordsize="21600,21600">
                  <v:path/>
                  <v:fill on="f" focussize="0,0"/>
                  <v:stroke on="f"/>
                  <v:imagedata r:id="rId63" o:title=""/>
                  <o:lock v:ext="edit" aspectratio="t"/>
                  <w10:wrap type="none"/>
                  <w10:anchorlock/>
                </v:shape>
                <o:OLEObject Type="Embed" ProgID="Visio.Drawing.15" ShapeID="_x0000_i1051" DrawAspect="Content" ObjectID="_1468075751" r:id="rId62">
                  <o:LockedField>false</o:LockedField>
                </o:OLEObject>
              </w:object>
            </w:r>
          </w:p>
        </w:tc>
      </w:tr>
    </w:tbl>
    <w:p w14:paraId="517EEBC0">
      <w:pPr>
        <w:spacing w:before="156" w:beforeLines="50" w:after="156" w:afterLines="50"/>
        <w:outlineLvl w:val="0"/>
        <w:rPr>
          <w:rFonts w:eastAsia="黑体"/>
          <w:b/>
          <w:sz w:val="24"/>
        </w:rPr>
        <w:sectPr>
          <w:pgSz w:w="11906" w:h="16838"/>
          <w:pgMar w:top="567" w:right="1134" w:bottom="1134" w:left="1417" w:header="1418" w:footer="1134" w:gutter="0"/>
          <w:cols w:space="425" w:num="1"/>
          <w:formProt w:val="0"/>
          <w:docGrid w:type="lines" w:linePitch="312" w:charSpace="0"/>
        </w:sectPr>
      </w:pPr>
    </w:p>
    <w:p w14:paraId="06F4A0F7">
      <w:pPr>
        <w:pStyle w:val="76"/>
      </w:pPr>
      <w:bookmarkStart w:id="51" w:name="_Toc16603"/>
      <w:r>
        <w:br w:type="textWrapping"/>
      </w:r>
      <w:r>
        <w:rPr>
          <w:rFonts w:hint="eastAsia"/>
        </w:rPr>
        <w:t>（资料性附录）</w:t>
      </w:r>
      <w:r>
        <w:br w:type="textWrapping"/>
      </w:r>
      <w:r>
        <w:rPr>
          <w:rFonts w:hint="eastAsia"/>
        </w:rPr>
        <w:t>GIL盆式绝缘子典型缺陷X光检测结果</w:t>
      </w:r>
      <w:bookmarkEnd w:id="51"/>
    </w:p>
    <w:p w14:paraId="16573C00">
      <w:pPr>
        <w:ind w:firstLine="420" w:firstLineChars="200"/>
      </w:pPr>
      <w:r>
        <w:rPr>
          <w:rFonts w:hint="eastAsia"/>
        </w:rPr>
        <w:t>GIL盆式绝缘子典型缺陷实物图像、无工装及带工装条件下的X光图像检测结果参见表C.1。</w:t>
      </w:r>
    </w:p>
    <w:p w14:paraId="517829A3">
      <w:pPr>
        <w:pStyle w:val="3"/>
        <w:jc w:val="center"/>
        <w:rPr>
          <w:rFonts w:eastAsia="宋体"/>
        </w:rPr>
      </w:pPr>
      <w:r>
        <w:t xml:space="preserve">表 </w:t>
      </w:r>
      <w:r>
        <w:rPr>
          <w:rFonts w:hint="eastAsia"/>
        </w:rPr>
        <w:t>C.1 GIL盆式绝缘子典型缺陷X光图像检测结果</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32"/>
        <w:gridCol w:w="2832"/>
        <w:gridCol w:w="2558"/>
        <w:gridCol w:w="2323"/>
      </w:tblGrid>
      <w:tr w14:paraId="4082A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2" w:type="dxa"/>
            <w:vAlign w:val="center"/>
          </w:tcPr>
          <w:p w14:paraId="56444EA2">
            <w:pPr>
              <w:pStyle w:val="17"/>
              <w:ind w:firstLine="0" w:firstLineChars="0"/>
              <w:jc w:val="center"/>
              <w:rPr>
                <w:szCs w:val="18"/>
              </w:rPr>
            </w:pPr>
            <w:r>
              <w:rPr>
                <w:rFonts w:hint="eastAsia"/>
                <w:szCs w:val="18"/>
              </w:rPr>
              <w:t>缺陷类型</w:t>
            </w:r>
          </w:p>
        </w:tc>
        <w:tc>
          <w:tcPr>
            <w:tcW w:w="2832" w:type="dxa"/>
            <w:vAlign w:val="center"/>
          </w:tcPr>
          <w:p w14:paraId="1635CAE6">
            <w:pPr>
              <w:pStyle w:val="17"/>
              <w:ind w:firstLine="0" w:firstLineChars="0"/>
              <w:jc w:val="center"/>
              <w:rPr>
                <w:szCs w:val="18"/>
              </w:rPr>
            </w:pPr>
            <w:r>
              <w:rPr>
                <w:rFonts w:hint="eastAsia"/>
                <w:szCs w:val="18"/>
              </w:rPr>
              <w:t>实物图像</w:t>
            </w:r>
          </w:p>
        </w:tc>
        <w:tc>
          <w:tcPr>
            <w:tcW w:w="2558" w:type="dxa"/>
            <w:vAlign w:val="center"/>
          </w:tcPr>
          <w:p w14:paraId="6E2D76E8">
            <w:pPr>
              <w:pStyle w:val="17"/>
              <w:ind w:firstLine="0" w:firstLineChars="0"/>
              <w:jc w:val="center"/>
              <w:rPr>
                <w:szCs w:val="18"/>
              </w:rPr>
            </w:pPr>
            <w:r>
              <w:rPr>
                <w:rFonts w:hint="eastAsia"/>
                <w:szCs w:val="18"/>
              </w:rPr>
              <w:t>缺陷X光图像（无工装）</w:t>
            </w:r>
          </w:p>
        </w:tc>
        <w:tc>
          <w:tcPr>
            <w:tcW w:w="2323" w:type="dxa"/>
            <w:vAlign w:val="center"/>
          </w:tcPr>
          <w:p w14:paraId="12B439CE">
            <w:pPr>
              <w:pStyle w:val="17"/>
              <w:ind w:firstLine="0" w:firstLineChars="0"/>
              <w:jc w:val="center"/>
              <w:rPr>
                <w:szCs w:val="18"/>
              </w:rPr>
            </w:pPr>
            <w:r>
              <w:rPr>
                <w:rFonts w:hint="eastAsia"/>
                <w:szCs w:val="18"/>
              </w:rPr>
              <w:t>缺陷X光图像（带工装）</w:t>
            </w:r>
          </w:p>
        </w:tc>
      </w:tr>
      <w:tr w14:paraId="3D817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2" w:type="dxa"/>
            <w:vAlign w:val="center"/>
          </w:tcPr>
          <w:p w14:paraId="297AF4D4">
            <w:pPr>
              <w:pStyle w:val="17"/>
              <w:ind w:firstLine="0" w:firstLineChars="0"/>
              <w:jc w:val="center"/>
              <w:rPr>
                <w:szCs w:val="18"/>
              </w:rPr>
            </w:pPr>
            <w:r>
              <w:rPr>
                <w:rFonts w:hint="eastAsia"/>
                <w:szCs w:val="18"/>
              </w:rPr>
              <w:t>绝缘子金属颗粒</w:t>
            </w:r>
          </w:p>
        </w:tc>
        <w:tc>
          <w:tcPr>
            <w:tcW w:w="2832" w:type="dxa"/>
            <w:vAlign w:val="center"/>
          </w:tcPr>
          <w:p w14:paraId="05417EBC">
            <w:pPr>
              <w:pStyle w:val="17"/>
              <w:ind w:firstLine="0" w:firstLineChars="0"/>
              <w:jc w:val="center"/>
              <w:rPr>
                <w:szCs w:val="18"/>
              </w:rPr>
            </w:pPr>
            <w:r>
              <w:rPr>
                <w:rFonts w:hint="eastAsia"/>
                <w:szCs w:val="20"/>
              </w:rPr>
              <w:object>
                <v:shape id="_x0000_i1052" o:spt="75" alt="" type="#_x0000_t75" style="height:101.9pt;width:103pt;" o:ole="t" filled="f" o:preferrelative="t" stroked="f" coordsize="21600,21600">
                  <v:path/>
                  <v:fill on="f" focussize="0,0"/>
                  <v:stroke on="f"/>
                  <v:imagedata r:id="rId65" o:title=""/>
                  <o:lock v:ext="edit" aspectratio="f"/>
                  <w10:wrap type="none"/>
                  <w10:anchorlock/>
                </v:shape>
                <o:OLEObject Type="Embed" ProgID="Visio.Drawing.15" ShapeID="_x0000_i1052" DrawAspect="Content" ObjectID="_1468075752" r:id="rId64">
                  <o:LockedField>false</o:LockedField>
                </o:OLEObject>
              </w:object>
            </w:r>
          </w:p>
        </w:tc>
        <w:tc>
          <w:tcPr>
            <w:tcW w:w="2558" w:type="dxa"/>
            <w:vAlign w:val="center"/>
          </w:tcPr>
          <w:p w14:paraId="60CAD738">
            <w:pPr>
              <w:pStyle w:val="17"/>
              <w:ind w:firstLine="0" w:firstLineChars="0"/>
              <w:jc w:val="center"/>
              <w:rPr>
                <w:szCs w:val="18"/>
              </w:rPr>
            </w:pPr>
            <w:r>
              <w:rPr>
                <w:rFonts w:hint="eastAsia"/>
                <w:szCs w:val="20"/>
              </w:rPr>
              <w:object>
                <v:shape id="_x0000_i1053" o:spt="75" alt="" type="#_x0000_t75" style="height:105.6pt;width:101.9pt;" o:ole="t" filled="f" o:preferrelative="t" stroked="f" coordsize="21600,21600">
                  <v:path/>
                  <v:fill on="f" focussize="0,0"/>
                  <v:stroke on="f"/>
                  <v:imagedata r:id="rId67" o:title=""/>
                  <o:lock v:ext="edit" aspectratio="f"/>
                  <w10:wrap type="none"/>
                  <w10:anchorlock/>
                </v:shape>
                <o:OLEObject Type="Embed" ProgID="Visio.Drawing.15" ShapeID="_x0000_i1053" DrawAspect="Content" ObjectID="_1468075753" r:id="rId66">
                  <o:LockedField>false</o:LockedField>
                </o:OLEObject>
              </w:object>
            </w:r>
          </w:p>
        </w:tc>
        <w:tc>
          <w:tcPr>
            <w:tcW w:w="2323" w:type="dxa"/>
            <w:vAlign w:val="center"/>
          </w:tcPr>
          <w:p w14:paraId="690E8A07">
            <w:pPr>
              <w:pStyle w:val="17"/>
              <w:ind w:firstLine="0" w:firstLineChars="0"/>
              <w:jc w:val="center"/>
              <w:rPr>
                <w:szCs w:val="18"/>
              </w:rPr>
            </w:pPr>
            <w:r>
              <w:rPr>
                <w:rFonts w:hint="eastAsia"/>
                <w:szCs w:val="20"/>
              </w:rPr>
              <w:object>
                <v:shape id="_x0000_i1054" o:spt="75" alt="" type="#_x0000_t75" style="height:105.85pt;width:102.75pt;" o:ole="t" filled="f" o:preferrelative="t" stroked="f" coordsize="21600,21600">
                  <v:path/>
                  <v:fill on="f" focussize="0,0"/>
                  <v:stroke on="f"/>
                  <v:imagedata r:id="rId69" o:title=""/>
                  <o:lock v:ext="edit" aspectratio="f"/>
                  <w10:wrap type="none"/>
                  <w10:anchorlock/>
                </v:shape>
                <o:OLEObject Type="Embed" ProgID="Visio.Drawing.15" ShapeID="_x0000_i1054" DrawAspect="Content" ObjectID="_1468075754" r:id="rId68">
                  <o:LockedField>false</o:LockedField>
                </o:OLEObject>
              </w:object>
            </w:r>
          </w:p>
        </w:tc>
      </w:tr>
      <w:tr w14:paraId="47D20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2" w:type="dxa"/>
            <w:vAlign w:val="center"/>
          </w:tcPr>
          <w:p w14:paraId="5634FFD4">
            <w:pPr>
              <w:pStyle w:val="17"/>
              <w:ind w:firstLine="0" w:firstLineChars="0"/>
              <w:jc w:val="center"/>
              <w:rPr>
                <w:szCs w:val="18"/>
              </w:rPr>
            </w:pPr>
            <w:r>
              <w:rPr>
                <w:rFonts w:hint="eastAsia"/>
                <w:szCs w:val="18"/>
              </w:rPr>
              <w:t>绝缘子气隙</w:t>
            </w:r>
          </w:p>
        </w:tc>
        <w:tc>
          <w:tcPr>
            <w:tcW w:w="2832" w:type="dxa"/>
            <w:vAlign w:val="center"/>
          </w:tcPr>
          <w:p w14:paraId="6FAE5E20">
            <w:pPr>
              <w:pStyle w:val="17"/>
              <w:ind w:firstLine="0" w:firstLineChars="0"/>
              <w:jc w:val="center"/>
              <w:rPr>
                <w:szCs w:val="18"/>
              </w:rPr>
            </w:pPr>
            <w:r>
              <w:rPr>
                <w:rFonts w:hint="eastAsia"/>
                <w:szCs w:val="20"/>
              </w:rPr>
              <w:object>
                <v:shape id="_x0000_i1055" o:spt="75" alt="" type="#_x0000_t75" style="height:108.15pt;width:103pt;" o:ole="t" filled="f" o:preferrelative="t" stroked="f" coordsize="21600,21600">
                  <v:path/>
                  <v:fill on="f" focussize="0,0"/>
                  <v:stroke on="f"/>
                  <v:imagedata r:id="rId71" o:title=""/>
                  <o:lock v:ext="edit" aspectratio="f"/>
                  <w10:wrap type="none"/>
                  <w10:anchorlock/>
                </v:shape>
                <o:OLEObject Type="Embed" ProgID="Visio.Drawing.15" ShapeID="_x0000_i1055" DrawAspect="Content" ObjectID="_1468075755" r:id="rId70">
                  <o:LockedField>false</o:LockedField>
                </o:OLEObject>
              </w:object>
            </w:r>
          </w:p>
        </w:tc>
        <w:tc>
          <w:tcPr>
            <w:tcW w:w="2558" w:type="dxa"/>
            <w:vAlign w:val="center"/>
          </w:tcPr>
          <w:p w14:paraId="704F19E9">
            <w:pPr>
              <w:pStyle w:val="17"/>
              <w:ind w:firstLine="0" w:firstLineChars="0"/>
              <w:jc w:val="center"/>
              <w:rPr>
                <w:szCs w:val="18"/>
              </w:rPr>
            </w:pPr>
            <w:r>
              <w:rPr>
                <w:rFonts w:hint="eastAsia"/>
                <w:szCs w:val="20"/>
              </w:rPr>
              <w:object>
                <v:shape id="_x0000_i1056" o:spt="75" alt="" type="#_x0000_t75" style="height:108.7pt;width:102.75pt;" o:ole="t" filled="f" o:preferrelative="t" stroked="f" coordsize="21600,21600">
                  <v:path/>
                  <v:fill on="f" focussize="0,0"/>
                  <v:stroke on="f"/>
                  <v:imagedata r:id="rId73" o:title=""/>
                  <o:lock v:ext="edit" aspectratio="f"/>
                  <w10:wrap type="none"/>
                  <w10:anchorlock/>
                </v:shape>
                <o:OLEObject Type="Embed" ProgID="Visio.Drawing.15" ShapeID="_x0000_i1056" DrawAspect="Content" ObjectID="_1468075756" r:id="rId72">
                  <o:LockedField>false</o:LockedField>
                </o:OLEObject>
              </w:object>
            </w:r>
          </w:p>
        </w:tc>
        <w:tc>
          <w:tcPr>
            <w:tcW w:w="2323" w:type="dxa"/>
            <w:vAlign w:val="center"/>
          </w:tcPr>
          <w:p w14:paraId="6D066C96">
            <w:pPr>
              <w:pStyle w:val="17"/>
              <w:ind w:firstLine="0" w:firstLineChars="0"/>
              <w:jc w:val="center"/>
              <w:rPr>
                <w:szCs w:val="18"/>
              </w:rPr>
            </w:pPr>
            <w:r>
              <w:rPr>
                <w:rFonts w:hint="eastAsia"/>
                <w:szCs w:val="20"/>
              </w:rPr>
              <w:object>
                <v:shape id="_x0000_i1057" o:spt="75" alt="" type="#_x0000_t75" style="height:108.15pt;width:102.75pt;" o:ole="t" filled="f" o:preferrelative="t" stroked="f" coordsize="21600,21600">
                  <v:path/>
                  <v:fill on="f" focussize="0,0"/>
                  <v:stroke on="f"/>
                  <v:imagedata r:id="rId75" o:title=""/>
                  <o:lock v:ext="edit" aspectratio="f"/>
                  <w10:wrap type="none"/>
                  <w10:anchorlock/>
                </v:shape>
                <o:OLEObject Type="Embed" ProgID="Visio.Drawing.15" ShapeID="_x0000_i1057" DrawAspect="Content" ObjectID="_1468075757" r:id="rId74">
                  <o:LockedField>false</o:LockedField>
                </o:OLEObject>
              </w:object>
            </w:r>
          </w:p>
        </w:tc>
      </w:tr>
      <w:tr w14:paraId="36790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2" w:type="dxa"/>
            <w:vAlign w:val="center"/>
          </w:tcPr>
          <w:p w14:paraId="1FFBE7BA">
            <w:pPr>
              <w:pStyle w:val="17"/>
              <w:ind w:firstLine="0" w:firstLineChars="0"/>
              <w:jc w:val="center"/>
              <w:rPr>
                <w:szCs w:val="18"/>
              </w:rPr>
            </w:pPr>
            <w:r>
              <w:rPr>
                <w:rFonts w:hint="eastAsia"/>
                <w:szCs w:val="18"/>
              </w:rPr>
              <w:t>绝缘子裂纹</w:t>
            </w:r>
          </w:p>
        </w:tc>
        <w:tc>
          <w:tcPr>
            <w:tcW w:w="2832" w:type="dxa"/>
            <w:vAlign w:val="center"/>
          </w:tcPr>
          <w:p w14:paraId="7F8E0898">
            <w:pPr>
              <w:pStyle w:val="17"/>
              <w:ind w:firstLine="0" w:firstLineChars="0"/>
              <w:jc w:val="center"/>
              <w:rPr>
                <w:szCs w:val="18"/>
              </w:rPr>
            </w:pPr>
            <w:r>
              <w:rPr>
                <w:rFonts w:hint="eastAsia"/>
                <w:szCs w:val="20"/>
              </w:rPr>
              <w:object>
                <v:shape id="_x0000_i1058" o:spt="75" alt="" type="#_x0000_t75" style="height:111.25pt;width:103pt;" o:ole="t" filled="f" o:preferrelative="t" stroked="f" coordsize="21600,21600">
                  <v:path/>
                  <v:fill on="f" focussize="0,0"/>
                  <v:stroke on="f"/>
                  <v:imagedata r:id="rId77" o:title=""/>
                  <o:lock v:ext="edit" aspectratio="f"/>
                  <w10:wrap type="none"/>
                  <w10:anchorlock/>
                </v:shape>
                <o:OLEObject Type="Embed" ProgID="Visio.Drawing.15" ShapeID="_x0000_i1058" DrawAspect="Content" ObjectID="_1468075758" r:id="rId76">
                  <o:LockedField>false</o:LockedField>
                </o:OLEObject>
              </w:object>
            </w:r>
          </w:p>
        </w:tc>
        <w:tc>
          <w:tcPr>
            <w:tcW w:w="2558" w:type="dxa"/>
            <w:vAlign w:val="center"/>
          </w:tcPr>
          <w:p w14:paraId="0CBCA314">
            <w:pPr>
              <w:pStyle w:val="17"/>
              <w:ind w:firstLine="0" w:firstLineChars="0"/>
              <w:jc w:val="center"/>
              <w:rPr>
                <w:szCs w:val="18"/>
              </w:rPr>
            </w:pPr>
            <w:r>
              <w:rPr>
                <w:rFonts w:hint="eastAsia"/>
                <w:szCs w:val="20"/>
              </w:rPr>
              <w:object>
                <v:shape id="_x0000_i1059" o:spt="75" alt="" type="#_x0000_t75" style="height:109.55pt;width:103.6pt;" o:ole="t" filled="f" o:preferrelative="t" stroked="f" coordsize="21600,21600">
                  <v:path/>
                  <v:fill on="f" focussize="0,0"/>
                  <v:stroke on="f"/>
                  <v:imagedata r:id="rId79" o:title=""/>
                  <o:lock v:ext="edit" aspectratio="f"/>
                  <w10:wrap type="none"/>
                  <w10:anchorlock/>
                </v:shape>
                <o:OLEObject Type="Embed" ProgID="Visio.Drawing.15" ShapeID="_x0000_i1059" DrawAspect="Content" ObjectID="_1468075759" r:id="rId78">
                  <o:LockedField>false</o:LockedField>
                </o:OLEObject>
              </w:object>
            </w:r>
          </w:p>
        </w:tc>
        <w:tc>
          <w:tcPr>
            <w:tcW w:w="2323" w:type="dxa"/>
            <w:vAlign w:val="center"/>
          </w:tcPr>
          <w:p w14:paraId="51B2E22A">
            <w:pPr>
              <w:pStyle w:val="17"/>
              <w:ind w:firstLine="0" w:firstLineChars="0"/>
              <w:jc w:val="center"/>
              <w:rPr>
                <w:szCs w:val="18"/>
              </w:rPr>
            </w:pPr>
            <w:r>
              <w:rPr>
                <w:rFonts w:hint="eastAsia"/>
                <w:szCs w:val="20"/>
              </w:rPr>
              <w:object>
                <v:shape id="_x0000_i1060" o:spt="75" alt="" type="#_x0000_t75" style="height:108.7pt;width:102.75pt;" o:ole="t" filled="f" o:preferrelative="t" stroked="f" coordsize="21600,21600">
                  <v:path/>
                  <v:fill on="f" focussize="0,0"/>
                  <v:stroke on="f"/>
                  <v:imagedata r:id="rId81" o:title=""/>
                  <o:lock v:ext="edit" aspectratio="f"/>
                  <w10:wrap type="none"/>
                  <w10:anchorlock/>
                </v:shape>
                <o:OLEObject Type="Embed" ProgID="Visio.Drawing.15" ShapeID="_x0000_i1060" DrawAspect="Content" ObjectID="_1468075760" r:id="rId80">
                  <o:LockedField>false</o:LockedField>
                </o:OLEObject>
              </w:object>
            </w:r>
          </w:p>
        </w:tc>
      </w:tr>
      <w:tr w14:paraId="7E8DA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2" w:type="dxa"/>
            <w:vAlign w:val="center"/>
          </w:tcPr>
          <w:p w14:paraId="3BC5E0EE">
            <w:pPr>
              <w:pStyle w:val="17"/>
              <w:ind w:firstLine="0" w:firstLineChars="0"/>
              <w:jc w:val="center"/>
              <w:rPr>
                <w:szCs w:val="18"/>
              </w:rPr>
            </w:pPr>
            <w:r>
              <w:rPr>
                <w:rFonts w:hint="eastAsia"/>
                <w:szCs w:val="18"/>
              </w:rPr>
              <w:t>绝缘子金属丝</w:t>
            </w:r>
          </w:p>
        </w:tc>
        <w:tc>
          <w:tcPr>
            <w:tcW w:w="2832" w:type="dxa"/>
            <w:vAlign w:val="center"/>
          </w:tcPr>
          <w:p w14:paraId="537275F6">
            <w:pPr>
              <w:pStyle w:val="17"/>
              <w:ind w:firstLine="0" w:firstLineChars="0"/>
              <w:jc w:val="center"/>
              <w:rPr>
                <w:szCs w:val="18"/>
              </w:rPr>
            </w:pPr>
            <w:r>
              <w:rPr>
                <w:rFonts w:hint="eastAsia"/>
                <w:szCs w:val="20"/>
              </w:rPr>
              <w:object>
                <v:shape id="_x0000_i1061" o:spt="75" alt="" type="#_x0000_t75" style="height:107.55pt;width:103pt;" o:ole="t" filled="f" o:preferrelative="t" stroked="f" coordsize="21600,21600">
                  <v:path/>
                  <v:fill on="f" focussize="0,0"/>
                  <v:stroke on="f"/>
                  <v:imagedata r:id="rId83" o:title=""/>
                  <o:lock v:ext="edit" aspectratio="f"/>
                  <w10:wrap type="none"/>
                  <w10:anchorlock/>
                </v:shape>
                <o:OLEObject Type="Embed" ProgID="Visio.Drawing.15" ShapeID="_x0000_i1061" DrawAspect="Content" ObjectID="_1468075761" r:id="rId82">
                  <o:LockedField>false</o:LockedField>
                </o:OLEObject>
              </w:object>
            </w:r>
          </w:p>
        </w:tc>
        <w:tc>
          <w:tcPr>
            <w:tcW w:w="2558" w:type="dxa"/>
            <w:vAlign w:val="center"/>
          </w:tcPr>
          <w:p w14:paraId="31B51AA1">
            <w:pPr>
              <w:pStyle w:val="17"/>
              <w:ind w:firstLine="0" w:firstLineChars="0"/>
              <w:jc w:val="center"/>
              <w:rPr>
                <w:szCs w:val="18"/>
              </w:rPr>
            </w:pPr>
            <w:r>
              <w:rPr>
                <w:rFonts w:hint="eastAsia"/>
                <w:szCs w:val="20"/>
              </w:rPr>
              <w:object>
                <v:shape id="_x0000_i1062" o:spt="75" alt="" type="#_x0000_t75" style="height:108.7pt;width:102.75pt;" o:ole="t" filled="f" o:preferrelative="t" stroked="f" coordsize="21600,21600">
                  <v:path/>
                  <v:fill on="f" focussize="0,0"/>
                  <v:stroke on="f"/>
                  <v:imagedata r:id="rId85" o:title=""/>
                  <o:lock v:ext="edit" aspectratio="f"/>
                  <w10:wrap type="none"/>
                  <w10:anchorlock/>
                </v:shape>
                <o:OLEObject Type="Embed" ProgID="Visio.Drawing.15" ShapeID="_x0000_i1062" DrawAspect="Content" ObjectID="_1468075762" r:id="rId84">
                  <o:LockedField>false</o:LockedField>
                </o:OLEObject>
              </w:object>
            </w:r>
          </w:p>
        </w:tc>
        <w:tc>
          <w:tcPr>
            <w:tcW w:w="2323" w:type="dxa"/>
            <w:vAlign w:val="center"/>
          </w:tcPr>
          <w:p w14:paraId="63B3BB56">
            <w:pPr>
              <w:pStyle w:val="17"/>
              <w:ind w:firstLine="0" w:firstLineChars="0"/>
              <w:jc w:val="center"/>
              <w:rPr>
                <w:szCs w:val="18"/>
              </w:rPr>
            </w:pPr>
            <w:r>
              <w:rPr>
                <w:rFonts w:hint="eastAsia"/>
                <w:szCs w:val="20"/>
              </w:rPr>
              <w:object>
                <v:shape id="_x0000_i1063" o:spt="75" alt="" type="#_x0000_t75" style="height:108.7pt;width:103pt;" o:ole="t" filled="f" o:preferrelative="t" stroked="f" coordsize="21600,21600">
                  <v:path/>
                  <v:fill on="f" focussize="0,0"/>
                  <v:stroke on="f"/>
                  <v:imagedata r:id="rId87" o:title=""/>
                  <o:lock v:ext="edit" aspectratio="f"/>
                  <w10:wrap type="none"/>
                  <w10:anchorlock/>
                </v:shape>
                <o:OLEObject Type="Embed" ProgID="Visio.Drawing.15" ShapeID="_x0000_i1063" DrawAspect="Content" ObjectID="_1468075763" r:id="rId86">
                  <o:LockedField>false</o:LockedField>
                </o:OLEObject>
              </w:object>
            </w:r>
          </w:p>
        </w:tc>
      </w:tr>
    </w:tbl>
    <w:p w14:paraId="69006AE7">
      <w:pPr>
        <w:pStyle w:val="17"/>
        <w:ind w:firstLine="0" w:firstLineChars="0"/>
      </w:pPr>
    </w:p>
    <w:p w14:paraId="1455B1B8">
      <w:pPr>
        <w:pStyle w:val="63"/>
      </w:pPr>
      <w:bookmarkStart w:id="52" w:name="_Toc30623"/>
      <w:bookmarkStart w:id="53" w:name="BKCKWX"/>
      <w:bookmarkStart w:id="54" w:name="_Toc46228660"/>
      <w:r>
        <w:rPr>
          <w:rFonts w:hint="eastAsia"/>
        </w:rPr>
        <w:t>参</w:t>
      </w:r>
      <w:r>
        <w:rPr>
          <w:rFonts w:hAnsi="黑体"/>
        </w:rPr>
        <w:t> </w:t>
      </w:r>
      <w:r>
        <w:rPr>
          <w:rFonts w:hint="eastAsia"/>
        </w:rPr>
        <w:t>考</w:t>
      </w:r>
      <w:r>
        <w:rPr>
          <w:rFonts w:hAnsi="黑体"/>
        </w:rPr>
        <w:t> </w:t>
      </w:r>
      <w:r>
        <w:rPr>
          <w:rFonts w:hint="eastAsia"/>
        </w:rPr>
        <w:t>文</w:t>
      </w:r>
      <w:r>
        <w:rPr>
          <w:rFonts w:hAnsi="黑体"/>
        </w:rPr>
        <w:t> </w:t>
      </w:r>
      <w:r>
        <w:rPr>
          <w:rFonts w:hint="eastAsia"/>
        </w:rPr>
        <w:t>献</w:t>
      </w:r>
      <w:bookmarkEnd w:id="52"/>
      <w:bookmarkEnd w:id="53"/>
      <w:bookmarkEnd w:id="54"/>
    </w:p>
    <w:p w14:paraId="20FDBB17">
      <w:pPr>
        <w:pStyle w:val="17"/>
      </w:pPr>
      <w:r>
        <w:rPr>
          <w:rFonts w:hint="eastAsia"/>
        </w:rPr>
        <w:t>[1] GB/T 7674-2020 额定电压72.5kV及以上气体绝缘金属封闭开关设备</w:t>
      </w:r>
    </w:p>
    <w:p w14:paraId="551EFD6B">
      <w:pPr>
        <w:pStyle w:val="17"/>
      </w:pPr>
      <w:r>
        <w:rPr>
          <w:rFonts w:hint="eastAsia"/>
        </w:rPr>
        <w:t xml:space="preserve">[2] GB/T 42287-2022 </w:t>
      </w:r>
      <w:r>
        <w:rPr>
          <w:rFonts w:hint="eastAsia"/>
        </w:rPr>
        <w:tab/>
      </w:r>
      <w:r>
        <w:rPr>
          <w:rFonts w:hint="eastAsia"/>
        </w:rPr>
        <w:t>高电压试验技术 电磁和声学法测量局部放电</w:t>
      </w:r>
    </w:p>
    <w:p w14:paraId="126535A6">
      <w:pPr>
        <w:pStyle w:val="17"/>
      </w:pPr>
      <w:r>
        <w:rPr>
          <w:rFonts w:hint="eastAsia"/>
        </w:rPr>
        <w:t>[3] Q/GDW 11059.2-2018 气体绝缘金属封闭开关设备局部放电带电测试技术现场应用导则 第2部分：特高频法</w:t>
      </w:r>
    </w:p>
    <w:p w14:paraId="5435B692">
      <w:pPr>
        <w:pStyle w:val="17"/>
        <w:rPr>
          <w:rFonts w:hint="eastAsia" w:hAnsi="宋体" w:cs="宋体"/>
          <w:color w:val="000000"/>
          <w:szCs w:val="21"/>
        </w:rPr>
      </w:pPr>
      <w:r>
        <w:rPr>
          <w:rFonts w:hint="eastAsia"/>
        </w:rPr>
        <w:t xml:space="preserve">[4] </w:t>
      </w:r>
      <w:r>
        <w:rPr>
          <w:rFonts w:hint="eastAsia" w:hAnsi="宋体" w:cs="宋体"/>
          <w:color w:val="000000"/>
          <w:szCs w:val="21"/>
        </w:rPr>
        <w:t xml:space="preserve">DL/T 1250  </w:t>
      </w:r>
      <w:r>
        <w:rPr>
          <w:rFonts w:hint="eastAsia" w:hAnsi="宋体" w:cs="宋体"/>
          <w:color w:val="000000"/>
          <w:szCs w:val="21"/>
        </w:rPr>
        <w:tab/>
      </w:r>
      <w:r>
        <w:rPr>
          <w:rFonts w:hint="eastAsia" w:hAnsi="宋体" w:cs="宋体"/>
          <w:color w:val="000000"/>
          <w:szCs w:val="21"/>
        </w:rPr>
        <w:t>气体绝缘金属封闭开关设备带电超声局部放电监测应用导则</w:t>
      </w:r>
    </w:p>
    <w:p w14:paraId="0007AD59">
      <w:pPr>
        <w:pStyle w:val="17"/>
        <w:rPr>
          <w:rFonts w:hint="eastAsia" w:hAnsi="宋体" w:cs="宋体"/>
        </w:rPr>
      </w:pPr>
      <w:r>
        <w:rPr>
          <w:rFonts w:hint="eastAsia" w:hAnsi="宋体" w:cs="宋体"/>
          <w:color w:val="000000"/>
          <w:szCs w:val="21"/>
        </w:rPr>
        <w:t>[5] DL/T 1205  六氟化硫电气设备分解产物试验方法</w:t>
      </w:r>
    </w:p>
    <w:p w14:paraId="1E257FD6">
      <w:pPr>
        <w:pStyle w:val="129"/>
        <w:framePr w:wrap="around"/>
      </w:pPr>
      <w:r>
        <w:t>_________________________________</w:t>
      </w:r>
    </w:p>
    <w:sectPr>
      <w:pgSz w:w="11906" w:h="16838"/>
      <w:pgMar w:top="567" w:right="1134" w:bottom="1134" w:left="1417" w:header="1418" w:footer="1134" w:gutter="0"/>
      <w:cols w:space="425"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Math">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AC19F1">
    <w:pPr>
      <w:pStyle w:val="60"/>
    </w:pPr>
    <w:r>
      <w:fldChar w:fldCharType="begin"/>
    </w:r>
    <w:r>
      <w:instrText xml:space="preserve"> PAGE  \* MERGEFORMAT </w:instrText>
    </w:r>
    <w:r>
      <w:fldChar w:fldCharType="separate"/>
    </w:r>
    <w:r>
      <w:t>4</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225679">
    <w:pPr>
      <w:pStyle w:val="35"/>
    </w:pPr>
    <w:r>
      <w:fldChar w:fldCharType="begin"/>
    </w:r>
    <w:r>
      <w:instrText xml:space="preserve"> PAGE  \* MERGEFORMAT </w:instrText>
    </w:r>
    <w:r>
      <w:fldChar w:fldCharType="separate"/>
    </w:r>
    <w:r>
      <w:t>3</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F04F27">
    <w:pPr>
      <w:pStyle w:val="61"/>
    </w:pPr>
    <w:r>
      <w:t>T/CNEA 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061B35">
    <w:pPr>
      <w:pStyle w:val="36"/>
    </w:pPr>
    <w:r>
      <w:rPr>
        <w:rFonts w:hint="eastAsia"/>
      </w:rPr>
      <w:t>T</w:t>
    </w:r>
    <w:r>
      <w:t>/</w:t>
    </w:r>
    <w:r>
      <w:rPr>
        <w:rFonts w:hint="eastAsia"/>
      </w:rPr>
      <w:t>CNEA</w:t>
    </w:r>
    <w:r>
      <w:t xml:space="preserve"> XXXX—XXXX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BBE770C"/>
    <w:multiLevelType w:val="singleLevel"/>
    <w:tmpl w:val="BBBE770C"/>
    <w:lvl w:ilvl="0" w:tentative="0">
      <w:start w:val="1"/>
      <w:numFmt w:val="lowerLetter"/>
      <w:suff w:val="space"/>
      <w:lvlText w:val="%1)"/>
      <w:lvlJc w:val="left"/>
    </w:lvl>
  </w:abstractNum>
  <w:abstractNum w:abstractNumId="1">
    <w:nsid w:val="F7DAF5D8"/>
    <w:multiLevelType w:val="singleLevel"/>
    <w:tmpl w:val="F7DAF5D8"/>
    <w:lvl w:ilvl="0" w:tentative="0">
      <w:start w:val="1"/>
      <w:numFmt w:val="lowerLetter"/>
      <w:suff w:val="space"/>
      <w:lvlText w:val="%1)"/>
      <w:lvlJc w:val="left"/>
    </w:lvl>
  </w:abstractNum>
  <w:abstractNum w:abstractNumId="2">
    <w:nsid w:val="079102AD"/>
    <w:multiLevelType w:val="multilevel"/>
    <w:tmpl w:val="079102AD"/>
    <w:lvl w:ilvl="0" w:tentative="0">
      <w:start w:val="1"/>
      <w:numFmt w:val="decimal"/>
      <w:pStyle w:val="50"/>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93C6778"/>
    <w:multiLevelType w:val="multilevel"/>
    <w:tmpl w:val="093C6778"/>
    <w:lvl w:ilvl="0" w:tentative="0">
      <w:start w:val="1"/>
      <w:numFmt w:val="decimal"/>
      <w:pStyle w:val="115"/>
      <w:suff w:val="nothing"/>
      <w:lvlText w:val="示例%1："/>
      <w:lvlJc w:val="left"/>
      <w:pPr>
        <w:ind w:left="0" w:firstLine="397"/>
      </w:pPr>
      <w:rPr>
        <w:rFonts w:hint="eastAsia" w:ascii="黑体" w:eastAsia="黑体"/>
        <w:sz w:val="18"/>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4">
    <w:nsid w:val="0A0FE62D"/>
    <w:multiLevelType w:val="singleLevel"/>
    <w:tmpl w:val="0A0FE62D"/>
    <w:lvl w:ilvl="0" w:tentative="0">
      <w:start w:val="1"/>
      <w:numFmt w:val="lowerLetter"/>
      <w:suff w:val="space"/>
      <w:lvlText w:val="%1)"/>
      <w:lvlJc w:val="left"/>
    </w:lvl>
  </w:abstractNum>
  <w:abstractNum w:abstractNumId="5">
    <w:nsid w:val="0AE367E9"/>
    <w:multiLevelType w:val="multilevel"/>
    <w:tmpl w:val="0AE367E9"/>
    <w:lvl w:ilvl="0" w:tentative="0">
      <w:start w:val="1"/>
      <w:numFmt w:val="none"/>
      <w:pStyle w:val="44"/>
      <w:suff w:val="nothing"/>
      <w:lvlText w:val="%1示例："/>
      <w:lvlJc w:val="left"/>
      <w:pPr>
        <w:ind w:left="0" w:firstLine="363"/>
      </w:pPr>
      <w:rPr>
        <w:rFonts w:hint="eastAsia" w:ascii="黑体" w:eastAsia="黑体"/>
        <w:b w:val="0"/>
        <w:i w:val="0"/>
        <w:sz w:val="18"/>
        <w:szCs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6">
    <w:nsid w:val="0DDE2B46"/>
    <w:multiLevelType w:val="multilevel"/>
    <w:tmpl w:val="0DDE2B46"/>
    <w:lvl w:ilvl="0" w:tentative="0">
      <w:start w:val="1"/>
      <w:numFmt w:val="lowerLetter"/>
      <w:pStyle w:val="120"/>
      <w:suff w:val="nothing"/>
      <w:lvlText w:val="%1   "/>
      <w:lvlJc w:val="left"/>
      <w:pPr>
        <w:ind w:left="544" w:hanging="181"/>
      </w:pPr>
      <w:rPr>
        <w:rFonts w:hint="eastAsia" w:asci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7">
    <w:nsid w:val="1DBF583A"/>
    <w:multiLevelType w:val="multilevel"/>
    <w:tmpl w:val="1DBF583A"/>
    <w:lvl w:ilvl="0" w:tentative="0">
      <w:start w:val="1"/>
      <w:numFmt w:val="decimal"/>
      <w:pStyle w:val="57"/>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8">
    <w:nsid w:val="1FC91163"/>
    <w:multiLevelType w:val="multilevel"/>
    <w:tmpl w:val="1FC91163"/>
    <w:lvl w:ilvl="0" w:tentative="0">
      <w:start w:val="1"/>
      <w:numFmt w:val="decimal"/>
      <w:pStyle w:val="37"/>
      <w:suff w:val="nothing"/>
      <w:lvlText w:val="%1　"/>
      <w:lvlJc w:val="left"/>
      <w:pPr>
        <w:ind w:left="1985" w:firstLine="0"/>
      </w:pPr>
      <w:rPr>
        <w:rFonts w:hint="eastAsia" w:ascii="黑体" w:hAnsi="Times New Roman" w:eastAsia="黑体"/>
        <w:b w:val="0"/>
        <w:i w:val="0"/>
        <w:sz w:val="21"/>
        <w:szCs w:val="21"/>
      </w:rPr>
    </w:lvl>
    <w:lvl w:ilvl="1" w:tentative="0">
      <w:start w:val="1"/>
      <w:numFmt w:val="decimal"/>
      <w:pStyle w:val="34"/>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38"/>
      <w:suff w:val="nothing"/>
      <w:lvlText w:val="%1.%2.%3　"/>
      <w:lvlJc w:val="left"/>
      <w:pPr>
        <w:ind w:left="0" w:firstLine="0"/>
      </w:pPr>
      <w:rPr>
        <w:rFonts w:hint="eastAsia" w:ascii="黑体" w:hAnsi="Times New Roman" w:eastAsia="黑体"/>
        <w:b w:val="0"/>
        <w:i w:val="0"/>
        <w:sz w:val="21"/>
      </w:rPr>
    </w:lvl>
    <w:lvl w:ilvl="3" w:tentative="0">
      <w:start w:val="1"/>
      <w:numFmt w:val="decimal"/>
      <w:pStyle w:val="43"/>
      <w:suff w:val="nothing"/>
      <w:lvlText w:val="%1.%2.%3.%4　"/>
      <w:lvlJc w:val="left"/>
      <w:pPr>
        <w:ind w:left="0" w:firstLine="0"/>
      </w:pPr>
      <w:rPr>
        <w:rFonts w:hint="eastAsia" w:ascii="黑体" w:hAnsi="Times New Roman" w:eastAsia="黑体"/>
        <w:b w:val="0"/>
        <w:i w:val="0"/>
        <w:sz w:val="21"/>
      </w:rPr>
    </w:lvl>
    <w:lvl w:ilvl="4" w:tentative="0">
      <w:start w:val="1"/>
      <w:numFmt w:val="decimal"/>
      <w:pStyle w:val="47"/>
      <w:suff w:val="nothing"/>
      <w:lvlText w:val="%1.%2.%3.%4.%5　"/>
      <w:lvlJc w:val="left"/>
      <w:pPr>
        <w:ind w:left="0" w:firstLine="0"/>
      </w:pPr>
      <w:rPr>
        <w:rFonts w:hint="eastAsia" w:ascii="黑体" w:hAnsi="Times New Roman" w:eastAsia="黑体"/>
        <w:b w:val="0"/>
        <w:i w:val="0"/>
        <w:sz w:val="21"/>
      </w:rPr>
    </w:lvl>
    <w:lvl w:ilvl="5" w:tentative="0">
      <w:start w:val="1"/>
      <w:numFmt w:val="decimal"/>
      <w:pStyle w:val="48"/>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9">
    <w:nsid w:val="2A8F7113"/>
    <w:multiLevelType w:val="multilevel"/>
    <w:tmpl w:val="2A8F7113"/>
    <w:lvl w:ilvl="0" w:tentative="0">
      <w:start w:val="1"/>
      <w:numFmt w:val="upperLetter"/>
      <w:pStyle w:val="90"/>
      <w:suff w:val="space"/>
      <w:lvlText w:val="%1"/>
      <w:lvlJc w:val="left"/>
      <w:pPr>
        <w:ind w:left="623" w:hanging="425"/>
      </w:pPr>
      <w:rPr>
        <w:rFonts w:hint="eastAsia"/>
      </w:rPr>
    </w:lvl>
    <w:lvl w:ilvl="1" w:tentative="0">
      <w:start w:val="1"/>
      <w:numFmt w:val="decimal"/>
      <w:pStyle w:val="91"/>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10">
    <w:nsid w:val="2C5917C3"/>
    <w:multiLevelType w:val="multilevel"/>
    <w:tmpl w:val="2C5917C3"/>
    <w:lvl w:ilvl="0" w:tentative="0">
      <w:start w:val="1"/>
      <w:numFmt w:val="none"/>
      <w:pStyle w:val="40"/>
      <w:suff w:val="nothing"/>
      <w:lvlText w:val="%1——"/>
      <w:lvlJc w:val="left"/>
      <w:pPr>
        <w:ind w:left="833" w:hanging="408"/>
      </w:pPr>
      <w:rPr>
        <w:rFonts w:hint="eastAsia"/>
      </w:rPr>
    </w:lvl>
    <w:lvl w:ilvl="1" w:tentative="0">
      <w:start w:val="1"/>
      <w:numFmt w:val="bullet"/>
      <w:pStyle w:val="41"/>
      <w:lvlText w:val=""/>
      <w:lvlJc w:val="left"/>
      <w:pPr>
        <w:tabs>
          <w:tab w:val="left" w:pos="760"/>
        </w:tabs>
        <w:ind w:left="1264" w:hanging="413"/>
      </w:pPr>
      <w:rPr>
        <w:rFonts w:hint="default" w:ascii="Symbol" w:hAnsi="Symbol"/>
        <w:color w:val="auto"/>
      </w:rPr>
    </w:lvl>
    <w:lvl w:ilvl="2" w:tentative="0">
      <w:start w:val="1"/>
      <w:numFmt w:val="bullet"/>
      <w:pStyle w:val="52"/>
      <w:lvlText w:val=""/>
      <w:lvlJc w:val="left"/>
      <w:pPr>
        <w:tabs>
          <w:tab w:val="left" w:pos="1678"/>
        </w:tabs>
        <w:ind w:left="1678" w:hanging="414"/>
      </w:pPr>
      <w:rPr>
        <w:rFonts w:hint="default" w:ascii="Symbol" w:hAnsi="Symbol"/>
        <w:color w:val="auto"/>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D733618"/>
    <w:multiLevelType w:val="multilevel"/>
    <w:tmpl w:val="3D733618"/>
    <w:lvl w:ilvl="0" w:tentative="0">
      <w:start w:val="1"/>
      <w:numFmt w:val="decimal"/>
      <w:pStyle w:val="18"/>
      <w:lvlText w:val="%1)"/>
      <w:lvlJc w:val="left"/>
      <w:pPr>
        <w:tabs>
          <w:tab w:val="left" w:pos="0"/>
        </w:tabs>
        <w:ind w:left="720" w:hanging="357"/>
      </w:pPr>
      <w:rPr>
        <w:rFonts w:hint="eastAsia"/>
      </w:rPr>
    </w:lvl>
    <w:lvl w:ilvl="1" w:tentative="0">
      <w:start w:val="1"/>
      <w:numFmt w:val="lowerLetter"/>
      <w:lvlText w:val="%2)"/>
      <w:lvlJc w:val="left"/>
      <w:pPr>
        <w:tabs>
          <w:tab w:val="left" w:pos="504"/>
        </w:tabs>
        <w:ind w:left="544" w:hanging="544"/>
      </w:pPr>
      <w:rPr>
        <w:rFonts w:hint="eastAsia"/>
      </w:rPr>
    </w:lvl>
    <w:lvl w:ilvl="2" w:tentative="0">
      <w:start w:val="1"/>
      <w:numFmt w:val="lowerRoman"/>
      <w:lvlText w:val="%3."/>
      <w:lvlJc w:val="right"/>
      <w:pPr>
        <w:tabs>
          <w:tab w:val="left" w:pos="532"/>
        </w:tabs>
        <w:ind w:left="544" w:hanging="544"/>
      </w:pPr>
      <w:rPr>
        <w:rFonts w:hint="eastAsia"/>
      </w:rPr>
    </w:lvl>
    <w:lvl w:ilvl="3" w:tentative="0">
      <w:start w:val="1"/>
      <w:numFmt w:val="decimal"/>
      <w:lvlText w:val="%4."/>
      <w:lvlJc w:val="left"/>
      <w:pPr>
        <w:tabs>
          <w:tab w:val="left" w:pos="560"/>
        </w:tabs>
        <w:ind w:left="544" w:hanging="544"/>
      </w:pPr>
      <w:rPr>
        <w:rFonts w:hint="eastAsia"/>
      </w:rPr>
    </w:lvl>
    <w:lvl w:ilvl="4" w:tentative="0">
      <w:start w:val="1"/>
      <w:numFmt w:val="lowerLetter"/>
      <w:lvlText w:val="%5)"/>
      <w:lvlJc w:val="left"/>
      <w:pPr>
        <w:tabs>
          <w:tab w:val="left" w:pos="588"/>
        </w:tabs>
        <w:ind w:left="544" w:hanging="544"/>
      </w:pPr>
      <w:rPr>
        <w:rFonts w:hint="eastAsia"/>
      </w:rPr>
    </w:lvl>
    <w:lvl w:ilvl="5" w:tentative="0">
      <w:start w:val="1"/>
      <w:numFmt w:val="lowerRoman"/>
      <w:lvlText w:val="%6."/>
      <w:lvlJc w:val="right"/>
      <w:pPr>
        <w:tabs>
          <w:tab w:val="left" w:pos="616"/>
        </w:tabs>
        <w:ind w:left="544" w:hanging="544"/>
      </w:pPr>
      <w:rPr>
        <w:rFonts w:hint="eastAsia"/>
      </w:rPr>
    </w:lvl>
    <w:lvl w:ilvl="6" w:tentative="0">
      <w:start w:val="1"/>
      <w:numFmt w:val="decimal"/>
      <w:lvlText w:val="%7."/>
      <w:lvlJc w:val="left"/>
      <w:pPr>
        <w:tabs>
          <w:tab w:val="left" w:pos="644"/>
        </w:tabs>
        <w:ind w:left="544" w:hanging="544"/>
      </w:pPr>
      <w:rPr>
        <w:rFonts w:hint="eastAsia"/>
      </w:rPr>
    </w:lvl>
    <w:lvl w:ilvl="7" w:tentative="0">
      <w:start w:val="1"/>
      <w:numFmt w:val="lowerLetter"/>
      <w:lvlText w:val="%8)"/>
      <w:lvlJc w:val="left"/>
      <w:pPr>
        <w:tabs>
          <w:tab w:val="left" w:pos="672"/>
        </w:tabs>
        <w:ind w:left="544" w:hanging="544"/>
      </w:pPr>
      <w:rPr>
        <w:rFonts w:hint="eastAsia"/>
      </w:rPr>
    </w:lvl>
    <w:lvl w:ilvl="8" w:tentative="0">
      <w:start w:val="1"/>
      <w:numFmt w:val="lowerRoman"/>
      <w:lvlText w:val="%9."/>
      <w:lvlJc w:val="right"/>
      <w:pPr>
        <w:tabs>
          <w:tab w:val="left" w:pos="700"/>
        </w:tabs>
        <w:ind w:left="544" w:hanging="544"/>
      </w:pPr>
      <w:rPr>
        <w:rFonts w:hint="eastAsia"/>
      </w:rPr>
    </w:lvl>
  </w:abstractNum>
  <w:abstractNum w:abstractNumId="12">
    <w:nsid w:val="44C50F90"/>
    <w:multiLevelType w:val="multilevel"/>
    <w:tmpl w:val="44C50F90"/>
    <w:lvl w:ilvl="0" w:tentative="0">
      <w:start w:val="1"/>
      <w:numFmt w:val="lowerLetter"/>
      <w:pStyle w:val="51"/>
      <w:lvlText w:val="%1)"/>
      <w:lvlJc w:val="left"/>
      <w:pPr>
        <w:tabs>
          <w:tab w:val="left" w:pos="840"/>
        </w:tabs>
        <w:ind w:left="839" w:hanging="419"/>
      </w:pPr>
      <w:rPr>
        <w:rFonts w:hint="eastAsia" w:ascii="宋体" w:eastAsia="宋体"/>
        <w:b w:val="0"/>
        <w:i w:val="0"/>
        <w:sz w:val="21"/>
        <w:szCs w:val="21"/>
      </w:rPr>
    </w:lvl>
    <w:lvl w:ilvl="1" w:tentative="0">
      <w:start w:val="1"/>
      <w:numFmt w:val="decimal"/>
      <w:pStyle w:val="46"/>
      <w:lvlText w:val="%2)"/>
      <w:lvlJc w:val="left"/>
      <w:pPr>
        <w:tabs>
          <w:tab w:val="left" w:pos="1260"/>
        </w:tabs>
        <w:ind w:left="1259" w:hanging="419"/>
      </w:pPr>
      <w:rPr>
        <w:rFonts w:hint="eastAsia"/>
      </w:rPr>
    </w:lvl>
    <w:lvl w:ilvl="2" w:tentative="0">
      <w:start w:val="1"/>
      <w:numFmt w:val="decimal"/>
      <w:pStyle w:val="53"/>
      <w:lvlText w:val="(%3)"/>
      <w:lvlJc w:val="left"/>
      <w:pPr>
        <w:tabs>
          <w:tab w:val="left" w:pos="0"/>
        </w:tabs>
        <w:ind w:left="1679" w:hanging="420"/>
      </w:pPr>
      <w:rPr>
        <w:rFonts w:hint="eastAsia" w:ascii="宋体" w:eastAsia="宋体"/>
        <w:b w:val="0"/>
        <w:i w:val="0"/>
        <w:sz w:val="21"/>
        <w:szCs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B733A5F"/>
    <w:multiLevelType w:val="multilevel"/>
    <w:tmpl w:val="4B733A5F"/>
    <w:lvl w:ilvl="0" w:tentative="0">
      <w:start w:val="1"/>
      <w:numFmt w:val="decimal"/>
      <w:pStyle w:val="54"/>
      <w:suff w:val="nothing"/>
      <w:lvlText w:val="示例%1："/>
      <w:lvlJc w:val="left"/>
      <w:pPr>
        <w:ind w:left="0" w:firstLine="363"/>
      </w:pPr>
      <w:rPr>
        <w:rFonts w:hint="eastAsia" w:ascii="黑体" w:hAnsi="Times New Roman" w:eastAsia="黑体"/>
        <w:b w:val="0"/>
        <w:i w:val="0"/>
        <w:sz w:val="18"/>
        <w:szCs w:val="18"/>
        <w:vertAlign w:val="baseline"/>
      </w:rPr>
    </w:lvl>
    <w:lvl w:ilvl="1" w:tentative="0">
      <w:start w:val="1"/>
      <w:numFmt w:val="none"/>
      <w:suff w:val="space"/>
      <w:lvlText w:val=""/>
      <w:lvlJc w:val="left"/>
      <w:pPr>
        <w:ind w:left="0" w:firstLine="0"/>
      </w:pPr>
      <w:rPr>
        <w:rFonts w:hint="eastAsia"/>
        <w:vertAlign w:val="baseline"/>
      </w:rPr>
    </w:lvl>
    <w:lvl w:ilvl="2" w:tentative="0">
      <w:start w:val="1"/>
      <w:numFmt w:val="decimal"/>
      <w:suff w:val="space"/>
      <w:lvlText w:val="2.2.%3"/>
      <w:lvlJc w:val="left"/>
      <w:pPr>
        <w:ind w:left="0" w:firstLine="0"/>
      </w:pPr>
      <w:rPr>
        <w:rFonts w:hint="eastAsia"/>
        <w:vertAlign w:val="baseline"/>
      </w:rPr>
    </w:lvl>
    <w:lvl w:ilvl="3" w:tentative="0">
      <w:start w:val="1"/>
      <w:numFmt w:val="decimal"/>
      <w:lvlText w:val="%4."/>
      <w:lvlJc w:val="left"/>
      <w:pPr>
        <w:tabs>
          <w:tab w:val="left" w:pos="0"/>
        </w:tabs>
        <w:ind w:left="992" w:hanging="629"/>
      </w:pPr>
      <w:rPr>
        <w:rFonts w:hint="eastAsia"/>
        <w:vertAlign w:val="baseline"/>
      </w:rPr>
    </w:lvl>
    <w:lvl w:ilvl="4" w:tentative="0">
      <w:start w:val="1"/>
      <w:numFmt w:val="lowerLetter"/>
      <w:lvlText w:val="%5)"/>
      <w:lvlJc w:val="left"/>
      <w:pPr>
        <w:tabs>
          <w:tab w:val="left" w:pos="0"/>
        </w:tabs>
        <w:ind w:left="992" w:hanging="629"/>
      </w:pPr>
      <w:rPr>
        <w:rFonts w:hint="eastAsia"/>
        <w:vertAlign w:val="baseline"/>
      </w:rPr>
    </w:lvl>
    <w:lvl w:ilvl="5" w:tentative="0">
      <w:start w:val="1"/>
      <w:numFmt w:val="lowerRoman"/>
      <w:lvlText w:val="%6."/>
      <w:lvlJc w:val="right"/>
      <w:pPr>
        <w:tabs>
          <w:tab w:val="left" w:pos="0"/>
        </w:tabs>
        <w:ind w:left="992" w:hanging="629"/>
      </w:pPr>
      <w:rPr>
        <w:rFonts w:hint="eastAsia"/>
        <w:vertAlign w:val="baseline"/>
      </w:rPr>
    </w:lvl>
    <w:lvl w:ilvl="6" w:tentative="0">
      <w:start w:val="1"/>
      <w:numFmt w:val="decimal"/>
      <w:lvlText w:val="%7."/>
      <w:lvlJc w:val="left"/>
      <w:pPr>
        <w:tabs>
          <w:tab w:val="left" w:pos="0"/>
        </w:tabs>
        <w:ind w:left="992" w:hanging="629"/>
      </w:pPr>
      <w:rPr>
        <w:rFonts w:hint="eastAsia"/>
        <w:vertAlign w:val="baseline"/>
      </w:rPr>
    </w:lvl>
    <w:lvl w:ilvl="7" w:tentative="0">
      <w:start w:val="1"/>
      <w:numFmt w:val="lowerLetter"/>
      <w:lvlText w:val="%8)"/>
      <w:lvlJc w:val="left"/>
      <w:pPr>
        <w:tabs>
          <w:tab w:val="left" w:pos="0"/>
        </w:tabs>
        <w:ind w:left="992" w:hanging="629"/>
      </w:pPr>
      <w:rPr>
        <w:rFonts w:hint="eastAsia"/>
        <w:vertAlign w:val="baseline"/>
      </w:rPr>
    </w:lvl>
    <w:lvl w:ilvl="8" w:tentative="0">
      <w:start w:val="1"/>
      <w:numFmt w:val="lowerRoman"/>
      <w:lvlText w:val="%9."/>
      <w:lvlJc w:val="right"/>
      <w:pPr>
        <w:tabs>
          <w:tab w:val="left" w:pos="0"/>
        </w:tabs>
        <w:ind w:left="992" w:hanging="629"/>
      </w:pPr>
      <w:rPr>
        <w:rFonts w:hint="eastAsia"/>
        <w:vertAlign w:val="baseline"/>
      </w:rPr>
    </w:lvl>
  </w:abstractNum>
  <w:abstractNum w:abstractNumId="14">
    <w:nsid w:val="557C2AF5"/>
    <w:multiLevelType w:val="multilevel"/>
    <w:tmpl w:val="557C2AF5"/>
    <w:lvl w:ilvl="0" w:tentative="0">
      <w:start w:val="1"/>
      <w:numFmt w:val="decimal"/>
      <w:pStyle w:val="128"/>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5">
    <w:nsid w:val="60B55DC2"/>
    <w:multiLevelType w:val="multilevel"/>
    <w:tmpl w:val="60B55DC2"/>
    <w:lvl w:ilvl="0" w:tentative="0">
      <w:start w:val="1"/>
      <w:numFmt w:val="upperLetter"/>
      <w:pStyle w:val="78"/>
      <w:lvlText w:val="%1"/>
      <w:lvlJc w:val="left"/>
      <w:pPr>
        <w:tabs>
          <w:tab w:val="left" w:pos="0"/>
        </w:tabs>
        <w:ind w:left="0" w:hanging="425"/>
      </w:pPr>
      <w:rPr>
        <w:rFonts w:hint="eastAsia"/>
      </w:rPr>
    </w:lvl>
    <w:lvl w:ilvl="1" w:tentative="0">
      <w:start w:val="1"/>
      <w:numFmt w:val="decimal"/>
      <w:pStyle w:val="79"/>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16">
    <w:nsid w:val="646260FA"/>
    <w:multiLevelType w:val="multilevel"/>
    <w:tmpl w:val="646260FA"/>
    <w:lvl w:ilvl="0" w:tentative="0">
      <w:start w:val="1"/>
      <w:numFmt w:val="decimal"/>
      <w:pStyle w:val="126"/>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7">
    <w:nsid w:val="657D3FBC"/>
    <w:multiLevelType w:val="multilevel"/>
    <w:tmpl w:val="657D3FBC"/>
    <w:lvl w:ilvl="0" w:tentative="0">
      <w:start w:val="1"/>
      <w:numFmt w:val="upperLetter"/>
      <w:pStyle w:val="76"/>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94"/>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pStyle w:val="95"/>
      <w:suff w:val="nothing"/>
      <w:lvlText w:val="%1.%2.%3　"/>
      <w:lvlJc w:val="left"/>
      <w:pPr>
        <w:ind w:left="0" w:firstLine="0"/>
      </w:pPr>
      <w:rPr>
        <w:rFonts w:hint="eastAsia" w:ascii="黑体" w:hAnsi="Times New Roman" w:eastAsia="黑体"/>
        <w:b w:val="0"/>
        <w:i w:val="0"/>
        <w:sz w:val="21"/>
      </w:rPr>
    </w:lvl>
    <w:lvl w:ilvl="3" w:tentative="0">
      <w:start w:val="1"/>
      <w:numFmt w:val="decimal"/>
      <w:pStyle w:val="80"/>
      <w:suff w:val="nothing"/>
      <w:lvlText w:val="%1.%2.%3.%4　"/>
      <w:lvlJc w:val="left"/>
      <w:pPr>
        <w:ind w:left="0" w:firstLine="0"/>
      </w:pPr>
      <w:rPr>
        <w:rFonts w:hint="eastAsia" w:ascii="黑体" w:hAnsi="Times New Roman" w:eastAsia="黑体"/>
        <w:b w:val="0"/>
        <w:i w:val="0"/>
        <w:sz w:val="21"/>
      </w:rPr>
    </w:lvl>
    <w:lvl w:ilvl="4" w:tentative="0">
      <w:start w:val="1"/>
      <w:numFmt w:val="decimal"/>
      <w:pStyle w:val="85"/>
      <w:suff w:val="nothing"/>
      <w:lvlText w:val="%1.%2.%3.%4.%5　"/>
      <w:lvlJc w:val="left"/>
      <w:pPr>
        <w:ind w:left="0" w:firstLine="0"/>
      </w:pPr>
      <w:rPr>
        <w:rFonts w:hint="eastAsia" w:ascii="黑体" w:hAnsi="Times New Roman" w:eastAsia="黑体"/>
        <w:b w:val="0"/>
        <w:i w:val="0"/>
        <w:sz w:val="21"/>
      </w:rPr>
    </w:lvl>
    <w:lvl w:ilvl="5" w:tentative="0">
      <w:start w:val="1"/>
      <w:numFmt w:val="decimal"/>
      <w:pStyle w:val="88"/>
      <w:suff w:val="nothing"/>
      <w:lvlText w:val="%1.%2.%3.%4.%5.%6　"/>
      <w:lvlJc w:val="left"/>
      <w:pPr>
        <w:ind w:left="0" w:firstLine="0"/>
      </w:pPr>
      <w:rPr>
        <w:rFonts w:hint="eastAsia" w:ascii="黑体" w:hAnsi="Times New Roman" w:eastAsia="黑体"/>
        <w:b w:val="0"/>
        <w:i w:val="0"/>
        <w:sz w:val="21"/>
      </w:rPr>
    </w:lvl>
    <w:lvl w:ilvl="6" w:tentative="0">
      <w:start w:val="1"/>
      <w:numFmt w:val="decimal"/>
      <w:pStyle w:val="92"/>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8">
    <w:nsid w:val="66A176A3"/>
    <w:multiLevelType w:val="multilevel"/>
    <w:tmpl w:val="66A176A3"/>
    <w:lvl w:ilvl="0" w:tentative="0">
      <w:start w:val="1"/>
      <w:numFmt w:val="lowerLetter"/>
      <w:lvlText w:val="%1)"/>
      <w:lvlJc w:val="left"/>
      <w:pPr>
        <w:ind w:left="780" w:hanging="360"/>
      </w:pPr>
      <w:rPr>
        <w:rFonts w:hint="default"/>
      </w:r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19">
    <w:nsid w:val="6D6C07CD"/>
    <w:multiLevelType w:val="multilevel"/>
    <w:tmpl w:val="6D6C07CD"/>
    <w:lvl w:ilvl="0" w:tentative="0">
      <w:start w:val="1"/>
      <w:numFmt w:val="lowerLetter"/>
      <w:pStyle w:val="97"/>
      <w:lvlText w:val="%1)"/>
      <w:lvlJc w:val="left"/>
      <w:pPr>
        <w:tabs>
          <w:tab w:val="left" w:pos="839"/>
        </w:tabs>
        <w:ind w:left="839" w:hanging="419"/>
      </w:pPr>
      <w:rPr>
        <w:rFonts w:hint="eastAsia" w:ascii="宋体" w:eastAsia="宋体"/>
        <w:b w:val="0"/>
        <w:i w:val="0"/>
        <w:sz w:val="21"/>
      </w:rPr>
    </w:lvl>
    <w:lvl w:ilvl="1" w:tentative="0">
      <w:start w:val="1"/>
      <w:numFmt w:val="decimal"/>
      <w:pStyle w:val="87"/>
      <w:lvlText w:val="%2)"/>
      <w:lvlJc w:val="left"/>
      <w:pPr>
        <w:tabs>
          <w:tab w:val="left" w:pos="840"/>
        </w:tabs>
        <w:ind w:left="839" w:hanging="419"/>
      </w:pPr>
      <w:rPr>
        <w:rFonts w:hint="eastAsia" w:ascii="宋体" w:eastAsia="宋体"/>
        <w:b w:val="0"/>
        <w:i w:val="0"/>
        <w:sz w:val="21"/>
      </w:rPr>
    </w:lvl>
    <w:lvl w:ilvl="2" w:tentative="0">
      <w:start w:val="1"/>
      <w:numFmt w:val="lowerRoman"/>
      <w:lvlText w:val="%3."/>
      <w:lvlJc w:val="right"/>
      <w:pPr>
        <w:tabs>
          <w:tab w:val="left" w:pos="1260"/>
        </w:tabs>
        <w:ind w:left="1259" w:hanging="419"/>
      </w:pPr>
      <w:rPr>
        <w:rFonts w:hint="eastAsia"/>
      </w:rPr>
    </w:lvl>
    <w:lvl w:ilvl="3" w:tentative="0">
      <w:start w:val="1"/>
      <w:numFmt w:val="decimal"/>
      <w:lvlText w:val="%4."/>
      <w:lvlJc w:val="left"/>
      <w:pPr>
        <w:tabs>
          <w:tab w:val="left" w:pos="1680"/>
        </w:tabs>
        <w:ind w:left="1679" w:hanging="419"/>
      </w:pPr>
      <w:rPr>
        <w:rFonts w:hint="eastAsia"/>
      </w:rPr>
    </w:lvl>
    <w:lvl w:ilvl="4" w:tentative="0">
      <w:start w:val="1"/>
      <w:numFmt w:val="lowerLetter"/>
      <w:lvlText w:val="%5)"/>
      <w:lvlJc w:val="left"/>
      <w:pPr>
        <w:tabs>
          <w:tab w:val="left" w:pos="2100"/>
        </w:tabs>
        <w:ind w:left="2099" w:hanging="419"/>
      </w:pPr>
      <w:rPr>
        <w:rFonts w:hint="eastAsia"/>
      </w:rPr>
    </w:lvl>
    <w:lvl w:ilvl="5" w:tentative="0">
      <w:start w:val="1"/>
      <w:numFmt w:val="lowerRoman"/>
      <w:lvlText w:val="%6."/>
      <w:lvlJc w:val="right"/>
      <w:pPr>
        <w:tabs>
          <w:tab w:val="left" w:pos="2520"/>
        </w:tabs>
        <w:ind w:left="2519" w:hanging="419"/>
      </w:pPr>
      <w:rPr>
        <w:rFonts w:hint="eastAsia"/>
      </w:rPr>
    </w:lvl>
    <w:lvl w:ilvl="6" w:tentative="0">
      <w:start w:val="1"/>
      <w:numFmt w:val="decimal"/>
      <w:lvlText w:val="%7."/>
      <w:lvlJc w:val="left"/>
      <w:pPr>
        <w:tabs>
          <w:tab w:val="left" w:pos="2940"/>
        </w:tabs>
        <w:ind w:left="2939" w:hanging="419"/>
      </w:pPr>
      <w:rPr>
        <w:rFonts w:hint="eastAsia"/>
      </w:rPr>
    </w:lvl>
    <w:lvl w:ilvl="7" w:tentative="0">
      <w:start w:val="1"/>
      <w:numFmt w:val="lowerLetter"/>
      <w:lvlText w:val="%8)"/>
      <w:lvlJc w:val="left"/>
      <w:pPr>
        <w:tabs>
          <w:tab w:val="left" w:pos="3360"/>
        </w:tabs>
        <w:ind w:left="3359" w:hanging="419"/>
      </w:pPr>
      <w:rPr>
        <w:rFonts w:hint="eastAsia"/>
      </w:rPr>
    </w:lvl>
    <w:lvl w:ilvl="8" w:tentative="0">
      <w:start w:val="1"/>
      <w:numFmt w:val="lowerRoman"/>
      <w:lvlText w:val="%9."/>
      <w:lvlJc w:val="right"/>
      <w:pPr>
        <w:tabs>
          <w:tab w:val="left" w:pos="3780"/>
        </w:tabs>
        <w:ind w:left="3779" w:hanging="419"/>
      </w:pPr>
      <w:rPr>
        <w:rFonts w:hint="eastAsia"/>
      </w:rPr>
    </w:lvl>
  </w:abstractNum>
  <w:abstractNum w:abstractNumId="20">
    <w:nsid w:val="6DBF04F4"/>
    <w:multiLevelType w:val="multilevel"/>
    <w:tmpl w:val="6DBF04F4"/>
    <w:lvl w:ilvl="0" w:tentative="0">
      <w:start w:val="1"/>
      <w:numFmt w:val="none"/>
      <w:pStyle w:val="49"/>
      <w:suff w:val="nothing"/>
      <w:lvlText w:val="%1注："/>
      <w:lvlJc w:val="left"/>
      <w:pPr>
        <w:ind w:left="726" w:hanging="363"/>
      </w:pPr>
      <w:rPr>
        <w:rFonts w:hint="eastAsia" w:ascii="黑体" w:hAnsi="Times New Roman"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num w:numId="1">
    <w:abstractNumId w:val="11"/>
  </w:num>
  <w:num w:numId="2">
    <w:abstractNumId w:val="8"/>
  </w:num>
  <w:num w:numId="3">
    <w:abstractNumId w:val="10"/>
  </w:num>
  <w:num w:numId="4">
    <w:abstractNumId w:val="5"/>
  </w:num>
  <w:num w:numId="5">
    <w:abstractNumId w:val="12"/>
  </w:num>
  <w:num w:numId="6">
    <w:abstractNumId w:val="20"/>
  </w:num>
  <w:num w:numId="7">
    <w:abstractNumId w:val="2"/>
  </w:num>
  <w:num w:numId="8">
    <w:abstractNumId w:val="13"/>
  </w:num>
  <w:num w:numId="9">
    <w:abstractNumId w:val="7"/>
  </w:num>
  <w:num w:numId="10">
    <w:abstractNumId w:val="17"/>
  </w:num>
  <w:num w:numId="11">
    <w:abstractNumId w:val="15"/>
  </w:num>
  <w:num w:numId="12">
    <w:abstractNumId w:val="19"/>
  </w:num>
  <w:num w:numId="13">
    <w:abstractNumId w:val="9"/>
  </w:num>
  <w:num w:numId="14">
    <w:abstractNumId w:val="3"/>
  </w:num>
  <w:num w:numId="15">
    <w:abstractNumId w:val="6"/>
  </w:num>
  <w:num w:numId="16">
    <w:abstractNumId w:val="16"/>
  </w:num>
  <w:num w:numId="17">
    <w:abstractNumId w:val="14"/>
  </w:num>
  <w:num w:numId="18">
    <w:abstractNumId w:val="4"/>
  </w:num>
  <w:num w:numId="19">
    <w:abstractNumId w:val="1"/>
  </w:num>
  <w:num w:numId="20">
    <w:abstractNumId w:val="0"/>
  </w:num>
  <w:num w:numId="2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mirrorMargin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5925"/>
    <w:rsid w:val="00000244"/>
    <w:rsid w:val="0000185F"/>
    <w:rsid w:val="0000586F"/>
    <w:rsid w:val="00013D86"/>
    <w:rsid w:val="00013DA1"/>
    <w:rsid w:val="00013E02"/>
    <w:rsid w:val="0002049C"/>
    <w:rsid w:val="00020ED5"/>
    <w:rsid w:val="0002143C"/>
    <w:rsid w:val="00025A65"/>
    <w:rsid w:val="00026C31"/>
    <w:rsid w:val="00027280"/>
    <w:rsid w:val="000320A7"/>
    <w:rsid w:val="00032260"/>
    <w:rsid w:val="00035925"/>
    <w:rsid w:val="00035BA4"/>
    <w:rsid w:val="00035F22"/>
    <w:rsid w:val="00040549"/>
    <w:rsid w:val="00047C58"/>
    <w:rsid w:val="00055A28"/>
    <w:rsid w:val="00056134"/>
    <w:rsid w:val="000607A3"/>
    <w:rsid w:val="0006773F"/>
    <w:rsid w:val="00067CDF"/>
    <w:rsid w:val="00073B8B"/>
    <w:rsid w:val="00074FBE"/>
    <w:rsid w:val="00075788"/>
    <w:rsid w:val="00083A09"/>
    <w:rsid w:val="0008639D"/>
    <w:rsid w:val="00086D08"/>
    <w:rsid w:val="0009005E"/>
    <w:rsid w:val="00092857"/>
    <w:rsid w:val="000968EF"/>
    <w:rsid w:val="000A20A9"/>
    <w:rsid w:val="000A2A36"/>
    <w:rsid w:val="000A48B1"/>
    <w:rsid w:val="000B1E32"/>
    <w:rsid w:val="000B3143"/>
    <w:rsid w:val="000B372F"/>
    <w:rsid w:val="000C1E9C"/>
    <w:rsid w:val="000C6B05"/>
    <w:rsid w:val="000C6DD6"/>
    <w:rsid w:val="000C729C"/>
    <w:rsid w:val="000C73D4"/>
    <w:rsid w:val="000D3238"/>
    <w:rsid w:val="000D3D4C"/>
    <w:rsid w:val="000D4F51"/>
    <w:rsid w:val="000D718B"/>
    <w:rsid w:val="000E0C46"/>
    <w:rsid w:val="000F030C"/>
    <w:rsid w:val="000F129C"/>
    <w:rsid w:val="000F534F"/>
    <w:rsid w:val="00102230"/>
    <w:rsid w:val="001038A3"/>
    <w:rsid w:val="001056DE"/>
    <w:rsid w:val="00111A2B"/>
    <w:rsid w:val="001124C0"/>
    <w:rsid w:val="00112ABE"/>
    <w:rsid w:val="00126F80"/>
    <w:rsid w:val="00130BA8"/>
    <w:rsid w:val="0013175F"/>
    <w:rsid w:val="001431CD"/>
    <w:rsid w:val="001512B4"/>
    <w:rsid w:val="001620A5"/>
    <w:rsid w:val="00164E53"/>
    <w:rsid w:val="0016699D"/>
    <w:rsid w:val="00166BA8"/>
    <w:rsid w:val="00171E0B"/>
    <w:rsid w:val="00175159"/>
    <w:rsid w:val="00176208"/>
    <w:rsid w:val="0018211B"/>
    <w:rsid w:val="001840D3"/>
    <w:rsid w:val="00186AF7"/>
    <w:rsid w:val="0018702B"/>
    <w:rsid w:val="001900F8"/>
    <w:rsid w:val="00191258"/>
    <w:rsid w:val="00192680"/>
    <w:rsid w:val="00193037"/>
    <w:rsid w:val="00193A2C"/>
    <w:rsid w:val="0019511F"/>
    <w:rsid w:val="001A288E"/>
    <w:rsid w:val="001A5BEB"/>
    <w:rsid w:val="001B6DC2"/>
    <w:rsid w:val="001C13EA"/>
    <w:rsid w:val="001C149C"/>
    <w:rsid w:val="001C21AC"/>
    <w:rsid w:val="001C47BA"/>
    <w:rsid w:val="001C59EA"/>
    <w:rsid w:val="001C6453"/>
    <w:rsid w:val="001D0410"/>
    <w:rsid w:val="001D406C"/>
    <w:rsid w:val="001D41EE"/>
    <w:rsid w:val="001D6B88"/>
    <w:rsid w:val="001D7FFB"/>
    <w:rsid w:val="001E0380"/>
    <w:rsid w:val="001E13B1"/>
    <w:rsid w:val="001F3646"/>
    <w:rsid w:val="001F3A19"/>
    <w:rsid w:val="00203366"/>
    <w:rsid w:val="00211FC6"/>
    <w:rsid w:val="00212026"/>
    <w:rsid w:val="00230D88"/>
    <w:rsid w:val="0023375E"/>
    <w:rsid w:val="00234467"/>
    <w:rsid w:val="002371C7"/>
    <w:rsid w:val="00237D8D"/>
    <w:rsid w:val="00237E71"/>
    <w:rsid w:val="00241DA2"/>
    <w:rsid w:val="00247FEE"/>
    <w:rsid w:val="00250E7D"/>
    <w:rsid w:val="002565D5"/>
    <w:rsid w:val="002609BB"/>
    <w:rsid w:val="002622C0"/>
    <w:rsid w:val="002705D0"/>
    <w:rsid w:val="00270EFC"/>
    <w:rsid w:val="00276D3D"/>
    <w:rsid w:val="002778AE"/>
    <w:rsid w:val="0028269A"/>
    <w:rsid w:val="00283590"/>
    <w:rsid w:val="00286973"/>
    <w:rsid w:val="00292535"/>
    <w:rsid w:val="00292CD9"/>
    <w:rsid w:val="00294E70"/>
    <w:rsid w:val="00295458"/>
    <w:rsid w:val="002A1924"/>
    <w:rsid w:val="002A7420"/>
    <w:rsid w:val="002B0F12"/>
    <w:rsid w:val="002B1308"/>
    <w:rsid w:val="002B1C1B"/>
    <w:rsid w:val="002B4554"/>
    <w:rsid w:val="002B5A88"/>
    <w:rsid w:val="002C05C0"/>
    <w:rsid w:val="002C72D8"/>
    <w:rsid w:val="002C7727"/>
    <w:rsid w:val="002D11FA"/>
    <w:rsid w:val="002D234E"/>
    <w:rsid w:val="002E0DDF"/>
    <w:rsid w:val="002E2906"/>
    <w:rsid w:val="002E5635"/>
    <w:rsid w:val="002E64C3"/>
    <w:rsid w:val="002E6A2C"/>
    <w:rsid w:val="002E76F4"/>
    <w:rsid w:val="002F1D8C"/>
    <w:rsid w:val="002F21DA"/>
    <w:rsid w:val="002F2B17"/>
    <w:rsid w:val="00301C20"/>
    <w:rsid w:val="00301F39"/>
    <w:rsid w:val="0030586F"/>
    <w:rsid w:val="003155D6"/>
    <w:rsid w:val="00323DA2"/>
    <w:rsid w:val="00325926"/>
    <w:rsid w:val="0032733E"/>
    <w:rsid w:val="00327A8A"/>
    <w:rsid w:val="003300DA"/>
    <w:rsid w:val="00330115"/>
    <w:rsid w:val="00336610"/>
    <w:rsid w:val="00341A4F"/>
    <w:rsid w:val="00343F73"/>
    <w:rsid w:val="00345060"/>
    <w:rsid w:val="00346CC3"/>
    <w:rsid w:val="0035323B"/>
    <w:rsid w:val="003609D2"/>
    <w:rsid w:val="00363F22"/>
    <w:rsid w:val="00375564"/>
    <w:rsid w:val="00383191"/>
    <w:rsid w:val="00386DED"/>
    <w:rsid w:val="003912E7"/>
    <w:rsid w:val="00393947"/>
    <w:rsid w:val="003A2275"/>
    <w:rsid w:val="003A6A4F"/>
    <w:rsid w:val="003A7088"/>
    <w:rsid w:val="003B00DF"/>
    <w:rsid w:val="003B1275"/>
    <w:rsid w:val="003B1778"/>
    <w:rsid w:val="003B6EBD"/>
    <w:rsid w:val="003C11CB"/>
    <w:rsid w:val="003C427F"/>
    <w:rsid w:val="003C75F3"/>
    <w:rsid w:val="003C78A3"/>
    <w:rsid w:val="003D10D5"/>
    <w:rsid w:val="003D1968"/>
    <w:rsid w:val="003E1867"/>
    <w:rsid w:val="003E4DF1"/>
    <w:rsid w:val="003E5729"/>
    <w:rsid w:val="003F3A60"/>
    <w:rsid w:val="003F4EE0"/>
    <w:rsid w:val="003F7873"/>
    <w:rsid w:val="00400D6E"/>
    <w:rsid w:val="00402153"/>
    <w:rsid w:val="00402FC1"/>
    <w:rsid w:val="00411E38"/>
    <w:rsid w:val="004137A0"/>
    <w:rsid w:val="004205E1"/>
    <w:rsid w:val="00421829"/>
    <w:rsid w:val="00425082"/>
    <w:rsid w:val="00426E02"/>
    <w:rsid w:val="00431DEB"/>
    <w:rsid w:val="0043448E"/>
    <w:rsid w:val="00446B29"/>
    <w:rsid w:val="00453F9A"/>
    <w:rsid w:val="004600F3"/>
    <w:rsid w:val="00465EB3"/>
    <w:rsid w:val="00471E91"/>
    <w:rsid w:val="00474675"/>
    <w:rsid w:val="0047470C"/>
    <w:rsid w:val="0047744B"/>
    <w:rsid w:val="00480EE2"/>
    <w:rsid w:val="00486A08"/>
    <w:rsid w:val="00496A66"/>
    <w:rsid w:val="004A35F9"/>
    <w:rsid w:val="004B24C1"/>
    <w:rsid w:val="004B6BE4"/>
    <w:rsid w:val="004C0049"/>
    <w:rsid w:val="004C1A9E"/>
    <w:rsid w:val="004C292F"/>
    <w:rsid w:val="004C50A1"/>
    <w:rsid w:val="004D3F10"/>
    <w:rsid w:val="004E1A64"/>
    <w:rsid w:val="004F58AC"/>
    <w:rsid w:val="00510280"/>
    <w:rsid w:val="00512221"/>
    <w:rsid w:val="0051267F"/>
    <w:rsid w:val="00513D73"/>
    <w:rsid w:val="00513EA3"/>
    <w:rsid w:val="00514A43"/>
    <w:rsid w:val="00516A3F"/>
    <w:rsid w:val="005174E5"/>
    <w:rsid w:val="00522393"/>
    <w:rsid w:val="00522620"/>
    <w:rsid w:val="00525656"/>
    <w:rsid w:val="00534C02"/>
    <w:rsid w:val="0053528C"/>
    <w:rsid w:val="00540B94"/>
    <w:rsid w:val="0054264B"/>
    <w:rsid w:val="00542E76"/>
    <w:rsid w:val="00543786"/>
    <w:rsid w:val="0054775D"/>
    <w:rsid w:val="005533D7"/>
    <w:rsid w:val="00560C50"/>
    <w:rsid w:val="005651F7"/>
    <w:rsid w:val="005703DE"/>
    <w:rsid w:val="005721E4"/>
    <w:rsid w:val="0058464E"/>
    <w:rsid w:val="00594181"/>
    <w:rsid w:val="005A01CB"/>
    <w:rsid w:val="005A0A32"/>
    <w:rsid w:val="005A3593"/>
    <w:rsid w:val="005A58FF"/>
    <w:rsid w:val="005A5EAF"/>
    <w:rsid w:val="005A64C0"/>
    <w:rsid w:val="005B3C11"/>
    <w:rsid w:val="005C1C28"/>
    <w:rsid w:val="005C5465"/>
    <w:rsid w:val="005C6DB5"/>
    <w:rsid w:val="005D2C99"/>
    <w:rsid w:val="005D55D8"/>
    <w:rsid w:val="005D7B7F"/>
    <w:rsid w:val="005E13FA"/>
    <w:rsid w:val="005E19E7"/>
    <w:rsid w:val="005E6AF9"/>
    <w:rsid w:val="00601CBE"/>
    <w:rsid w:val="00606E65"/>
    <w:rsid w:val="00613E5E"/>
    <w:rsid w:val="00614EF2"/>
    <w:rsid w:val="0061716C"/>
    <w:rsid w:val="00621076"/>
    <w:rsid w:val="006241D7"/>
    <w:rsid w:val="006243A1"/>
    <w:rsid w:val="00632E56"/>
    <w:rsid w:val="006357B3"/>
    <w:rsid w:val="00635AB6"/>
    <w:rsid w:val="00635CBA"/>
    <w:rsid w:val="006374F4"/>
    <w:rsid w:val="00641415"/>
    <w:rsid w:val="0064338B"/>
    <w:rsid w:val="0064652E"/>
    <w:rsid w:val="00646542"/>
    <w:rsid w:val="006504F4"/>
    <w:rsid w:val="00654BC9"/>
    <w:rsid w:val="006552FD"/>
    <w:rsid w:val="00663AF3"/>
    <w:rsid w:val="00663D85"/>
    <w:rsid w:val="00666B6C"/>
    <w:rsid w:val="00671D46"/>
    <w:rsid w:val="00676947"/>
    <w:rsid w:val="0068139C"/>
    <w:rsid w:val="00682682"/>
    <w:rsid w:val="00682702"/>
    <w:rsid w:val="00692368"/>
    <w:rsid w:val="006A0455"/>
    <w:rsid w:val="006A19F7"/>
    <w:rsid w:val="006A2EBC"/>
    <w:rsid w:val="006A5EA0"/>
    <w:rsid w:val="006A783B"/>
    <w:rsid w:val="006A7B33"/>
    <w:rsid w:val="006B4E13"/>
    <w:rsid w:val="006B75DD"/>
    <w:rsid w:val="006C0E42"/>
    <w:rsid w:val="006C6141"/>
    <w:rsid w:val="006C67E0"/>
    <w:rsid w:val="006C7ABA"/>
    <w:rsid w:val="006C7F43"/>
    <w:rsid w:val="006D0D60"/>
    <w:rsid w:val="006D1122"/>
    <w:rsid w:val="006D3C00"/>
    <w:rsid w:val="006D3F23"/>
    <w:rsid w:val="006D47B6"/>
    <w:rsid w:val="006D79AF"/>
    <w:rsid w:val="006E3675"/>
    <w:rsid w:val="006E4A7F"/>
    <w:rsid w:val="006E556B"/>
    <w:rsid w:val="006F0BC2"/>
    <w:rsid w:val="006F1573"/>
    <w:rsid w:val="00701F34"/>
    <w:rsid w:val="00704DF6"/>
    <w:rsid w:val="0070651C"/>
    <w:rsid w:val="007127AF"/>
    <w:rsid w:val="007132A3"/>
    <w:rsid w:val="00713AF5"/>
    <w:rsid w:val="00716421"/>
    <w:rsid w:val="007176AC"/>
    <w:rsid w:val="00717919"/>
    <w:rsid w:val="00724EFB"/>
    <w:rsid w:val="007265AD"/>
    <w:rsid w:val="007332E7"/>
    <w:rsid w:val="00734142"/>
    <w:rsid w:val="007419C3"/>
    <w:rsid w:val="007467A7"/>
    <w:rsid w:val="007469DD"/>
    <w:rsid w:val="0074741B"/>
    <w:rsid w:val="0074759E"/>
    <w:rsid w:val="007478EA"/>
    <w:rsid w:val="00747ACB"/>
    <w:rsid w:val="00752437"/>
    <w:rsid w:val="0075415C"/>
    <w:rsid w:val="00763502"/>
    <w:rsid w:val="00774560"/>
    <w:rsid w:val="007913AB"/>
    <w:rsid w:val="007914F7"/>
    <w:rsid w:val="00795B0B"/>
    <w:rsid w:val="007B1625"/>
    <w:rsid w:val="007B706E"/>
    <w:rsid w:val="007B71EB"/>
    <w:rsid w:val="007C2D3F"/>
    <w:rsid w:val="007C6205"/>
    <w:rsid w:val="007C686A"/>
    <w:rsid w:val="007C728E"/>
    <w:rsid w:val="007D2C53"/>
    <w:rsid w:val="007D3D60"/>
    <w:rsid w:val="007D6E5F"/>
    <w:rsid w:val="007E1980"/>
    <w:rsid w:val="007E2C28"/>
    <w:rsid w:val="007E4B76"/>
    <w:rsid w:val="007E5EA8"/>
    <w:rsid w:val="007F0CF1"/>
    <w:rsid w:val="007F12A5"/>
    <w:rsid w:val="007F4B9F"/>
    <w:rsid w:val="007F4CF1"/>
    <w:rsid w:val="007F758D"/>
    <w:rsid w:val="007F7BC6"/>
    <w:rsid w:val="007F7D52"/>
    <w:rsid w:val="00802DCA"/>
    <w:rsid w:val="0080654C"/>
    <w:rsid w:val="008071C6"/>
    <w:rsid w:val="00807580"/>
    <w:rsid w:val="00810018"/>
    <w:rsid w:val="0081410E"/>
    <w:rsid w:val="00817A00"/>
    <w:rsid w:val="0083335A"/>
    <w:rsid w:val="008343AC"/>
    <w:rsid w:val="00835DB3"/>
    <w:rsid w:val="0083617B"/>
    <w:rsid w:val="0083671E"/>
    <w:rsid w:val="008371BD"/>
    <w:rsid w:val="00846CEB"/>
    <w:rsid w:val="0085030F"/>
    <w:rsid w:val="008504A8"/>
    <w:rsid w:val="0085282E"/>
    <w:rsid w:val="00854506"/>
    <w:rsid w:val="0087198C"/>
    <w:rsid w:val="00872C1F"/>
    <w:rsid w:val="00873B42"/>
    <w:rsid w:val="00882DFE"/>
    <w:rsid w:val="008856D8"/>
    <w:rsid w:val="00891992"/>
    <w:rsid w:val="00892E82"/>
    <w:rsid w:val="00893C90"/>
    <w:rsid w:val="00897C03"/>
    <w:rsid w:val="008A2792"/>
    <w:rsid w:val="008A4223"/>
    <w:rsid w:val="008C1B58"/>
    <w:rsid w:val="008C39AE"/>
    <w:rsid w:val="008C590D"/>
    <w:rsid w:val="008D2619"/>
    <w:rsid w:val="008D438C"/>
    <w:rsid w:val="008E031B"/>
    <w:rsid w:val="008E6CD6"/>
    <w:rsid w:val="008E7029"/>
    <w:rsid w:val="008E718B"/>
    <w:rsid w:val="008E7EF6"/>
    <w:rsid w:val="008F1F98"/>
    <w:rsid w:val="008F374D"/>
    <w:rsid w:val="008F49DA"/>
    <w:rsid w:val="008F6758"/>
    <w:rsid w:val="009027E2"/>
    <w:rsid w:val="009040DD"/>
    <w:rsid w:val="00905B47"/>
    <w:rsid w:val="00911108"/>
    <w:rsid w:val="0091331C"/>
    <w:rsid w:val="0091389B"/>
    <w:rsid w:val="00925155"/>
    <w:rsid w:val="009279DE"/>
    <w:rsid w:val="00930116"/>
    <w:rsid w:val="0093323C"/>
    <w:rsid w:val="0094212C"/>
    <w:rsid w:val="00947A1A"/>
    <w:rsid w:val="00952CCF"/>
    <w:rsid w:val="00954689"/>
    <w:rsid w:val="00956DF4"/>
    <w:rsid w:val="009617C9"/>
    <w:rsid w:val="009617EB"/>
    <w:rsid w:val="00961C93"/>
    <w:rsid w:val="00962900"/>
    <w:rsid w:val="00965324"/>
    <w:rsid w:val="00965D1E"/>
    <w:rsid w:val="0097091E"/>
    <w:rsid w:val="009760D3"/>
    <w:rsid w:val="00977132"/>
    <w:rsid w:val="00981535"/>
    <w:rsid w:val="00981A29"/>
    <w:rsid w:val="00981A4B"/>
    <w:rsid w:val="00982501"/>
    <w:rsid w:val="009877D3"/>
    <w:rsid w:val="00994E8F"/>
    <w:rsid w:val="009951DC"/>
    <w:rsid w:val="009959BB"/>
    <w:rsid w:val="00997158"/>
    <w:rsid w:val="00997219"/>
    <w:rsid w:val="009A12D7"/>
    <w:rsid w:val="009A3A7C"/>
    <w:rsid w:val="009A59BC"/>
    <w:rsid w:val="009A5C41"/>
    <w:rsid w:val="009B2ADB"/>
    <w:rsid w:val="009B603A"/>
    <w:rsid w:val="009C2D0E"/>
    <w:rsid w:val="009C359E"/>
    <w:rsid w:val="009C3DAC"/>
    <w:rsid w:val="009C42E0"/>
    <w:rsid w:val="009C657E"/>
    <w:rsid w:val="009D4B8C"/>
    <w:rsid w:val="009D5362"/>
    <w:rsid w:val="009E1415"/>
    <w:rsid w:val="009E386A"/>
    <w:rsid w:val="009E57DA"/>
    <w:rsid w:val="009E6116"/>
    <w:rsid w:val="009F41A1"/>
    <w:rsid w:val="009F4AF9"/>
    <w:rsid w:val="00A02E43"/>
    <w:rsid w:val="00A065F9"/>
    <w:rsid w:val="00A07F34"/>
    <w:rsid w:val="00A200FF"/>
    <w:rsid w:val="00A22154"/>
    <w:rsid w:val="00A25C38"/>
    <w:rsid w:val="00A36BBE"/>
    <w:rsid w:val="00A4307A"/>
    <w:rsid w:val="00A4680B"/>
    <w:rsid w:val="00A46ED4"/>
    <w:rsid w:val="00A47EBB"/>
    <w:rsid w:val="00A51CDD"/>
    <w:rsid w:val="00A642E7"/>
    <w:rsid w:val="00A6450D"/>
    <w:rsid w:val="00A64AD0"/>
    <w:rsid w:val="00A6730D"/>
    <w:rsid w:val="00A70E4F"/>
    <w:rsid w:val="00A71625"/>
    <w:rsid w:val="00A71B9B"/>
    <w:rsid w:val="00A72B2A"/>
    <w:rsid w:val="00A72CE0"/>
    <w:rsid w:val="00A751C7"/>
    <w:rsid w:val="00A8464B"/>
    <w:rsid w:val="00A84B65"/>
    <w:rsid w:val="00A87844"/>
    <w:rsid w:val="00A90706"/>
    <w:rsid w:val="00A93F3E"/>
    <w:rsid w:val="00A97B1D"/>
    <w:rsid w:val="00AA038C"/>
    <w:rsid w:val="00AA5E3E"/>
    <w:rsid w:val="00AA64D9"/>
    <w:rsid w:val="00AA7A09"/>
    <w:rsid w:val="00AB3B50"/>
    <w:rsid w:val="00AB4911"/>
    <w:rsid w:val="00AB5A12"/>
    <w:rsid w:val="00AB5C51"/>
    <w:rsid w:val="00AC05B1"/>
    <w:rsid w:val="00AC18E7"/>
    <w:rsid w:val="00AC2747"/>
    <w:rsid w:val="00AC461F"/>
    <w:rsid w:val="00AC5CBD"/>
    <w:rsid w:val="00AD356C"/>
    <w:rsid w:val="00AE1539"/>
    <w:rsid w:val="00AE188E"/>
    <w:rsid w:val="00AE2914"/>
    <w:rsid w:val="00AE6D15"/>
    <w:rsid w:val="00AF3403"/>
    <w:rsid w:val="00B01243"/>
    <w:rsid w:val="00B04182"/>
    <w:rsid w:val="00B07AE3"/>
    <w:rsid w:val="00B11430"/>
    <w:rsid w:val="00B2012E"/>
    <w:rsid w:val="00B2065B"/>
    <w:rsid w:val="00B211A9"/>
    <w:rsid w:val="00B252FF"/>
    <w:rsid w:val="00B353EB"/>
    <w:rsid w:val="00B439C4"/>
    <w:rsid w:val="00B4535E"/>
    <w:rsid w:val="00B47863"/>
    <w:rsid w:val="00B52A8C"/>
    <w:rsid w:val="00B576D5"/>
    <w:rsid w:val="00B576FE"/>
    <w:rsid w:val="00B60BC4"/>
    <w:rsid w:val="00B62C48"/>
    <w:rsid w:val="00B6351F"/>
    <w:rsid w:val="00B636A8"/>
    <w:rsid w:val="00B665C6"/>
    <w:rsid w:val="00B67FDE"/>
    <w:rsid w:val="00B75C3E"/>
    <w:rsid w:val="00B805AF"/>
    <w:rsid w:val="00B82019"/>
    <w:rsid w:val="00B822AD"/>
    <w:rsid w:val="00B84D7A"/>
    <w:rsid w:val="00B869EC"/>
    <w:rsid w:val="00B936BA"/>
    <w:rsid w:val="00B9397A"/>
    <w:rsid w:val="00B9633D"/>
    <w:rsid w:val="00B96C00"/>
    <w:rsid w:val="00B97A78"/>
    <w:rsid w:val="00BA2EBE"/>
    <w:rsid w:val="00BA7267"/>
    <w:rsid w:val="00BB0F28"/>
    <w:rsid w:val="00BB2F87"/>
    <w:rsid w:val="00BB458A"/>
    <w:rsid w:val="00BC05B2"/>
    <w:rsid w:val="00BC5F77"/>
    <w:rsid w:val="00BD00D3"/>
    <w:rsid w:val="00BD0BE2"/>
    <w:rsid w:val="00BD1659"/>
    <w:rsid w:val="00BD2D39"/>
    <w:rsid w:val="00BD3AA9"/>
    <w:rsid w:val="00BD4A18"/>
    <w:rsid w:val="00BD6DB2"/>
    <w:rsid w:val="00BE11CF"/>
    <w:rsid w:val="00BE1C2F"/>
    <w:rsid w:val="00BE21AB"/>
    <w:rsid w:val="00BE55CB"/>
    <w:rsid w:val="00BF3213"/>
    <w:rsid w:val="00BF4394"/>
    <w:rsid w:val="00BF49DC"/>
    <w:rsid w:val="00BF617A"/>
    <w:rsid w:val="00C0379D"/>
    <w:rsid w:val="00C03931"/>
    <w:rsid w:val="00C05FE3"/>
    <w:rsid w:val="00C06C57"/>
    <w:rsid w:val="00C10CE2"/>
    <w:rsid w:val="00C12381"/>
    <w:rsid w:val="00C14CFF"/>
    <w:rsid w:val="00C2136D"/>
    <w:rsid w:val="00C214EE"/>
    <w:rsid w:val="00C2314B"/>
    <w:rsid w:val="00C24971"/>
    <w:rsid w:val="00C252CA"/>
    <w:rsid w:val="00C26BE5"/>
    <w:rsid w:val="00C26E4D"/>
    <w:rsid w:val="00C27909"/>
    <w:rsid w:val="00C27B03"/>
    <w:rsid w:val="00C314E1"/>
    <w:rsid w:val="00C34397"/>
    <w:rsid w:val="00C4095D"/>
    <w:rsid w:val="00C47D55"/>
    <w:rsid w:val="00C601D2"/>
    <w:rsid w:val="00C6415E"/>
    <w:rsid w:val="00C64663"/>
    <w:rsid w:val="00C65BCC"/>
    <w:rsid w:val="00C66970"/>
    <w:rsid w:val="00C83434"/>
    <w:rsid w:val="00C8691C"/>
    <w:rsid w:val="00CA168A"/>
    <w:rsid w:val="00CA357E"/>
    <w:rsid w:val="00CA44F9"/>
    <w:rsid w:val="00CA4A69"/>
    <w:rsid w:val="00CC2F8D"/>
    <w:rsid w:val="00CC3E0C"/>
    <w:rsid w:val="00CC461C"/>
    <w:rsid w:val="00CC58D3"/>
    <w:rsid w:val="00CC784D"/>
    <w:rsid w:val="00CD346B"/>
    <w:rsid w:val="00CD6C0C"/>
    <w:rsid w:val="00CE15D8"/>
    <w:rsid w:val="00CE3B84"/>
    <w:rsid w:val="00D0337B"/>
    <w:rsid w:val="00D05641"/>
    <w:rsid w:val="00D079B2"/>
    <w:rsid w:val="00D114E9"/>
    <w:rsid w:val="00D12CDD"/>
    <w:rsid w:val="00D147A5"/>
    <w:rsid w:val="00D25CD2"/>
    <w:rsid w:val="00D338BB"/>
    <w:rsid w:val="00D377EB"/>
    <w:rsid w:val="00D429C6"/>
    <w:rsid w:val="00D43C6A"/>
    <w:rsid w:val="00D47748"/>
    <w:rsid w:val="00D54CC3"/>
    <w:rsid w:val="00D6041A"/>
    <w:rsid w:val="00D633EB"/>
    <w:rsid w:val="00D65CB1"/>
    <w:rsid w:val="00D757F6"/>
    <w:rsid w:val="00D77D75"/>
    <w:rsid w:val="00D82FF7"/>
    <w:rsid w:val="00D847FE"/>
    <w:rsid w:val="00D903D8"/>
    <w:rsid w:val="00D964EA"/>
    <w:rsid w:val="00D966D0"/>
    <w:rsid w:val="00D972A0"/>
    <w:rsid w:val="00DA0789"/>
    <w:rsid w:val="00DA0C59"/>
    <w:rsid w:val="00DA3991"/>
    <w:rsid w:val="00DB4285"/>
    <w:rsid w:val="00DB478E"/>
    <w:rsid w:val="00DB7E6C"/>
    <w:rsid w:val="00DC02EB"/>
    <w:rsid w:val="00DC1DA7"/>
    <w:rsid w:val="00DC44E0"/>
    <w:rsid w:val="00DD1992"/>
    <w:rsid w:val="00DD5A29"/>
    <w:rsid w:val="00DD5D9D"/>
    <w:rsid w:val="00DE35CB"/>
    <w:rsid w:val="00DE67EA"/>
    <w:rsid w:val="00DF21E9"/>
    <w:rsid w:val="00E00F14"/>
    <w:rsid w:val="00E06386"/>
    <w:rsid w:val="00E10104"/>
    <w:rsid w:val="00E102F4"/>
    <w:rsid w:val="00E12986"/>
    <w:rsid w:val="00E16F7D"/>
    <w:rsid w:val="00E24EB4"/>
    <w:rsid w:val="00E24FE9"/>
    <w:rsid w:val="00E320ED"/>
    <w:rsid w:val="00E33AFB"/>
    <w:rsid w:val="00E34218"/>
    <w:rsid w:val="00E46282"/>
    <w:rsid w:val="00E520AA"/>
    <w:rsid w:val="00E5216E"/>
    <w:rsid w:val="00E542F5"/>
    <w:rsid w:val="00E617A6"/>
    <w:rsid w:val="00E67B05"/>
    <w:rsid w:val="00E8138E"/>
    <w:rsid w:val="00E82344"/>
    <w:rsid w:val="00E84C82"/>
    <w:rsid w:val="00E84D64"/>
    <w:rsid w:val="00E87408"/>
    <w:rsid w:val="00E914C4"/>
    <w:rsid w:val="00E934F5"/>
    <w:rsid w:val="00E96961"/>
    <w:rsid w:val="00E97C9A"/>
    <w:rsid w:val="00EA3141"/>
    <w:rsid w:val="00EA72EC"/>
    <w:rsid w:val="00EA7489"/>
    <w:rsid w:val="00EB11CB"/>
    <w:rsid w:val="00EB275A"/>
    <w:rsid w:val="00EB786A"/>
    <w:rsid w:val="00EC1578"/>
    <w:rsid w:val="00EC1C72"/>
    <w:rsid w:val="00EC306F"/>
    <w:rsid w:val="00EC3CC9"/>
    <w:rsid w:val="00EC4DC5"/>
    <w:rsid w:val="00EC680A"/>
    <w:rsid w:val="00ED0A3C"/>
    <w:rsid w:val="00ED447A"/>
    <w:rsid w:val="00ED5A7B"/>
    <w:rsid w:val="00EE0256"/>
    <w:rsid w:val="00EE0DDF"/>
    <w:rsid w:val="00EE2BED"/>
    <w:rsid w:val="00EE374B"/>
    <w:rsid w:val="00EE666F"/>
    <w:rsid w:val="00EF0EC6"/>
    <w:rsid w:val="00F11BB5"/>
    <w:rsid w:val="00F1417B"/>
    <w:rsid w:val="00F21ECB"/>
    <w:rsid w:val="00F34B99"/>
    <w:rsid w:val="00F412F0"/>
    <w:rsid w:val="00F41909"/>
    <w:rsid w:val="00F5017D"/>
    <w:rsid w:val="00F520DC"/>
    <w:rsid w:val="00F52DAB"/>
    <w:rsid w:val="00F543F0"/>
    <w:rsid w:val="00F653F8"/>
    <w:rsid w:val="00F81D29"/>
    <w:rsid w:val="00F874C1"/>
    <w:rsid w:val="00F91C4D"/>
    <w:rsid w:val="00F92FD9"/>
    <w:rsid w:val="00F9459E"/>
    <w:rsid w:val="00FA60A0"/>
    <w:rsid w:val="00FA6684"/>
    <w:rsid w:val="00FA6C5C"/>
    <w:rsid w:val="00FA731E"/>
    <w:rsid w:val="00FB2B38"/>
    <w:rsid w:val="00FB440B"/>
    <w:rsid w:val="00FC1C60"/>
    <w:rsid w:val="00FC6358"/>
    <w:rsid w:val="00FD320D"/>
    <w:rsid w:val="00FD644F"/>
    <w:rsid w:val="00FD78AD"/>
    <w:rsid w:val="00FE23DE"/>
    <w:rsid w:val="00FE40A3"/>
    <w:rsid w:val="015F7C8E"/>
    <w:rsid w:val="016A347B"/>
    <w:rsid w:val="01AA3877"/>
    <w:rsid w:val="021148A8"/>
    <w:rsid w:val="02786099"/>
    <w:rsid w:val="03AD298D"/>
    <w:rsid w:val="03B51E4B"/>
    <w:rsid w:val="03C2759E"/>
    <w:rsid w:val="05912118"/>
    <w:rsid w:val="06257970"/>
    <w:rsid w:val="06486F76"/>
    <w:rsid w:val="068B306A"/>
    <w:rsid w:val="06BC50EE"/>
    <w:rsid w:val="06E52FF1"/>
    <w:rsid w:val="075E75DE"/>
    <w:rsid w:val="077502E1"/>
    <w:rsid w:val="08363F36"/>
    <w:rsid w:val="08BE4437"/>
    <w:rsid w:val="096674B8"/>
    <w:rsid w:val="09A17C56"/>
    <w:rsid w:val="0AD81455"/>
    <w:rsid w:val="0B150835"/>
    <w:rsid w:val="0B2C587F"/>
    <w:rsid w:val="0BC5431F"/>
    <w:rsid w:val="0BD86AFE"/>
    <w:rsid w:val="0C321039"/>
    <w:rsid w:val="0C444782"/>
    <w:rsid w:val="0C48260B"/>
    <w:rsid w:val="0C9B273A"/>
    <w:rsid w:val="0CCF56F4"/>
    <w:rsid w:val="0CDB7F00"/>
    <w:rsid w:val="0DA37797"/>
    <w:rsid w:val="0E2C2214"/>
    <w:rsid w:val="0E8B556B"/>
    <w:rsid w:val="0EC80FAD"/>
    <w:rsid w:val="0ECC1555"/>
    <w:rsid w:val="0ECD2214"/>
    <w:rsid w:val="0EFB7AAE"/>
    <w:rsid w:val="0EFD2513"/>
    <w:rsid w:val="0F5C08A7"/>
    <w:rsid w:val="107D6CE5"/>
    <w:rsid w:val="10E30B54"/>
    <w:rsid w:val="1101035E"/>
    <w:rsid w:val="12D668AE"/>
    <w:rsid w:val="12FB7AB0"/>
    <w:rsid w:val="13842174"/>
    <w:rsid w:val="13C62381"/>
    <w:rsid w:val="13CD2536"/>
    <w:rsid w:val="13F33CBB"/>
    <w:rsid w:val="141F1EA3"/>
    <w:rsid w:val="148E105E"/>
    <w:rsid w:val="149C7544"/>
    <w:rsid w:val="14BA20EA"/>
    <w:rsid w:val="14F42246"/>
    <w:rsid w:val="153546E2"/>
    <w:rsid w:val="15EA028F"/>
    <w:rsid w:val="16201C3C"/>
    <w:rsid w:val="16644DD8"/>
    <w:rsid w:val="16841530"/>
    <w:rsid w:val="17665015"/>
    <w:rsid w:val="17FC6442"/>
    <w:rsid w:val="18682A9A"/>
    <w:rsid w:val="1910625E"/>
    <w:rsid w:val="19616CA6"/>
    <w:rsid w:val="19AA0CC1"/>
    <w:rsid w:val="1AC078A8"/>
    <w:rsid w:val="1ADC6D40"/>
    <w:rsid w:val="1B013345"/>
    <w:rsid w:val="1BA3160C"/>
    <w:rsid w:val="1C31196A"/>
    <w:rsid w:val="1C766D20"/>
    <w:rsid w:val="1CA63842"/>
    <w:rsid w:val="1E7E07EF"/>
    <w:rsid w:val="1E837FF7"/>
    <w:rsid w:val="1F1840BF"/>
    <w:rsid w:val="1F32170A"/>
    <w:rsid w:val="202E7896"/>
    <w:rsid w:val="20586FCB"/>
    <w:rsid w:val="20B979E2"/>
    <w:rsid w:val="21A8564D"/>
    <w:rsid w:val="21D31A5B"/>
    <w:rsid w:val="23502CC5"/>
    <w:rsid w:val="235356C5"/>
    <w:rsid w:val="23841D23"/>
    <w:rsid w:val="24D171E9"/>
    <w:rsid w:val="25E50EE9"/>
    <w:rsid w:val="26185305"/>
    <w:rsid w:val="266E632E"/>
    <w:rsid w:val="26E256DE"/>
    <w:rsid w:val="27286E69"/>
    <w:rsid w:val="274F0267"/>
    <w:rsid w:val="2798239F"/>
    <w:rsid w:val="27EC60E8"/>
    <w:rsid w:val="2824057F"/>
    <w:rsid w:val="28A86680"/>
    <w:rsid w:val="28E7767C"/>
    <w:rsid w:val="28F909AC"/>
    <w:rsid w:val="290B0520"/>
    <w:rsid w:val="29455AB0"/>
    <w:rsid w:val="29567A3B"/>
    <w:rsid w:val="29B560A2"/>
    <w:rsid w:val="29FF65A7"/>
    <w:rsid w:val="2A3A5907"/>
    <w:rsid w:val="2AE052E3"/>
    <w:rsid w:val="2B5B5A5F"/>
    <w:rsid w:val="2B947178"/>
    <w:rsid w:val="2BB37649"/>
    <w:rsid w:val="2BDE3008"/>
    <w:rsid w:val="2CC30BBB"/>
    <w:rsid w:val="2CC53664"/>
    <w:rsid w:val="2D5F3521"/>
    <w:rsid w:val="2EE45178"/>
    <w:rsid w:val="2F2B298D"/>
    <w:rsid w:val="3011493E"/>
    <w:rsid w:val="30937A49"/>
    <w:rsid w:val="309D4424"/>
    <w:rsid w:val="30A10D6C"/>
    <w:rsid w:val="30E77E44"/>
    <w:rsid w:val="310B1297"/>
    <w:rsid w:val="312410FB"/>
    <w:rsid w:val="313F4CA9"/>
    <w:rsid w:val="31A26E78"/>
    <w:rsid w:val="31A71F19"/>
    <w:rsid w:val="31D86586"/>
    <w:rsid w:val="32024E86"/>
    <w:rsid w:val="32044D41"/>
    <w:rsid w:val="32973A9E"/>
    <w:rsid w:val="32B508E2"/>
    <w:rsid w:val="33C70BC3"/>
    <w:rsid w:val="33C7513B"/>
    <w:rsid w:val="34125129"/>
    <w:rsid w:val="34FA77D2"/>
    <w:rsid w:val="359F479A"/>
    <w:rsid w:val="35B571E4"/>
    <w:rsid w:val="35C76F3E"/>
    <w:rsid w:val="35E61494"/>
    <w:rsid w:val="36061C97"/>
    <w:rsid w:val="362178A5"/>
    <w:rsid w:val="365818CA"/>
    <w:rsid w:val="36F9612C"/>
    <w:rsid w:val="374B4BD9"/>
    <w:rsid w:val="37E43728"/>
    <w:rsid w:val="38E93CDC"/>
    <w:rsid w:val="391E511D"/>
    <w:rsid w:val="398126A4"/>
    <w:rsid w:val="3A0A6A65"/>
    <w:rsid w:val="3AF45588"/>
    <w:rsid w:val="3B514788"/>
    <w:rsid w:val="3B52394A"/>
    <w:rsid w:val="3B674434"/>
    <w:rsid w:val="3BE23632"/>
    <w:rsid w:val="3BF54B95"/>
    <w:rsid w:val="3C406568"/>
    <w:rsid w:val="3C4B13EE"/>
    <w:rsid w:val="3C887370"/>
    <w:rsid w:val="3DC931B8"/>
    <w:rsid w:val="3E467EA9"/>
    <w:rsid w:val="3E597EF7"/>
    <w:rsid w:val="3E753D25"/>
    <w:rsid w:val="3EB055B1"/>
    <w:rsid w:val="3EB56DDC"/>
    <w:rsid w:val="3ECC2AA4"/>
    <w:rsid w:val="3EDF7780"/>
    <w:rsid w:val="3F0834CE"/>
    <w:rsid w:val="3FC34F73"/>
    <w:rsid w:val="3FCC33C2"/>
    <w:rsid w:val="3FD11E23"/>
    <w:rsid w:val="40B160FB"/>
    <w:rsid w:val="418C496E"/>
    <w:rsid w:val="4229516F"/>
    <w:rsid w:val="42BB1484"/>
    <w:rsid w:val="430262AF"/>
    <w:rsid w:val="43D85AAC"/>
    <w:rsid w:val="44691EC0"/>
    <w:rsid w:val="45C640D8"/>
    <w:rsid w:val="45F813BF"/>
    <w:rsid w:val="460C0F74"/>
    <w:rsid w:val="46696B15"/>
    <w:rsid w:val="47A045B2"/>
    <w:rsid w:val="47AB60C7"/>
    <w:rsid w:val="47F22732"/>
    <w:rsid w:val="4A4C4151"/>
    <w:rsid w:val="4AD47CF2"/>
    <w:rsid w:val="4AD54A8E"/>
    <w:rsid w:val="4BBB4045"/>
    <w:rsid w:val="4BD50ABE"/>
    <w:rsid w:val="4C7B1E44"/>
    <w:rsid w:val="4CB37051"/>
    <w:rsid w:val="4DD550EE"/>
    <w:rsid w:val="4E233D62"/>
    <w:rsid w:val="4E546612"/>
    <w:rsid w:val="4EA5613D"/>
    <w:rsid w:val="4F015A4D"/>
    <w:rsid w:val="4F231B40"/>
    <w:rsid w:val="4F332EB2"/>
    <w:rsid w:val="4F532D2F"/>
    <w:rsid w:val="4F945088"/>
    <w:rsid w:val="4F964B8F"/>
    <w:rsid w:val="4FD65F92"/>
    <w:rsid w:val="4FF534DD"/>
    <w:rsid w:val="4FFE214A"/>
    <w:rsid w:val="500F0A42"/>
    <w:rsid w:val="502A762A"/>
    <w:rsid w:val="508B3E41"/>
    <w:rsid w:val="519218FC"/>
    <w:rsid w:val="51E74BC8"/>
    <w:rsid w:val="51EA2F0A"/>
    <w:rsid w:val="52817737"/>
    <w:rsid w:val="52D814B3"/>
    <w:rsid w:val="536956BA"/>
    <w:rsid w:val="560A0A09"/>
    <w:rsid w:val="56430D7E"/>
    <w:rsid w:val="56A91802"/>
    <w:rsid w:val="56E147BB"/>
    <w:rsid w:val="57617238"/>
    <w:rsid w:val="57C735FF"/>
    <w:rsid w:val="58240ECC"/>
    <w:rsid w:val="585D3A23"/>
    <w:rsid w:val="58C93537"/>
    <w:rsid w:val="58E80082"/>
    <w:rsid w:val="59CC1091"/>
    <w:rsid w:val="5A6C08B6"/>
    <w:rsid w:val="5A9833A8"/>
    <w:rsid w:val="5B154B1A"/>
    <w:rsid w:val="5B1858E5"/>
    <w:rsid w:val="5B6B4F9B"/>
    <w:rsid w:val="5BC067F8"/>
    <w:rsid w:val="5C14174D"/>
    <w:rsid w:val="5C797243"/>
    <w:rsid w:val="5CC16B37"/>
    <w:rsid w:val="5D556F1D"/>
    <w:rsid w:val="5D895FEC"/>
    <w:rsid w:val="5DA675CB"/>
    <w:rsid w:val="5DD93A88"/>
    <w:rsid w:val="5DFF69EC"/>
    <w:rsid w:val="5E195734"/>
    <w:rsid w:val="5E426035"/>
    <w:rsid w:val="5E4853B5"/>
    <w:rsid w:val="5EB51079"/>
    <w:rsid w:val="5F571ABE"/>
    <w:rsid w:val="5FA97E40"/>
    <w:rsid w:val="60703A07"/>
    <w:rsid w:val="611D4456"/>
    <w:rsid w:val="62267460"/>
    <w:rsid w:val="62452DFA"/>
    <w:rsid w:val="625C5EA4"/>
    <w:rsid w:val="64094FC0"/>
    <w:rsid w:val="65AE695E"/>
    <w:rsid w:val="65E14B73"/>
    <w:rsid w:val="666845B1"/>
    <w:rsid w:val="667D0AE2"/>
    <w:rsid w:val="67441A6C"/>
    <w:rsid w:val="67694A84"/>
    <w:rsid w:val="68021012"/>
    <w:rsid w:val="684611B8"/>
    <w:rsid w:val="68F61CCD"/>
    <w:rsid w:val="69A35DAC"/>
    <w:rsid w:val="6AA42503"/>
    <w:rsid w:val="6B064398"/>
    <w:rsid w:val="6C445178"/>
    <w:rsid w:val="6C4C0451"/>
    <w:rsid w:val="6C6B6BA9"/>
    <w:rsid w:val="6C895281"/>
    <w:rsid w:val="6CB87914"/>
    <w:rsid w:val="6DAC14C1"/>
    <w:rsid w:val="6E904A52"/>
    <w:rsid w:val="6F274D73"/>
    <w:rsid w:val="6F712F1C"/>
    <w:rsid w:val="70201905"/>
    <w:rsid w:val="71573893"/>
    <w:rsid w:val="71F03284"/>
    <w:rsid w:val="72051320"/>
    <w:rsid w:val="72496350"/>
    <w:rsid w:val="7298035B"/>
    <w:rsid w:val="73CC3574"/>
    <w:rsid w:val="73CE5EA3"/>
    <w:rsid w:val="74356AA9"/>
    <w:rsid w:val="74566390"/>
    <w:rsid w:val="7463285B"/>
    <w:rsid w:val="75215A40"/>
    <w:rsid w:val="752E140F"/>
    <w:rsid w:val="75554FCE"/>
    <w:rsid w:val="75750103"/>
    <w:rsid w:val="75845EE2"/>
    <w:rsid w:val="75D831EF"/>
    <w:rsid w:val="75F25632"/>
    <w:rsid w:val="77626073"/>
    <w:rsid w:val="78007768"/>
    <w:rsid w:val="78261E34"/>
    <w:rsid w:val="783A0D35"/>
    <w:rsid w:val="783D6052"/>
    <w:rsid w:val="78515E93"/>
    <w:rsid w:val="78585A49"/>
    <w:rsid w:val="7A664E53"/>
    <w:rsid w:val="7A6740F6"/>
    <w:rsid w:val="7A7E0956"/>
    <w:rsid w:val="7AE76D41"/>
    <w:rsid w:val="7B435470"/>
    <w:rsid w:val="7B8E6A1D"/>
    <w:rsid w:val="7C1034D3"/>
    <w:rsid w:val="7D3A61D0"/>
    <w:rsid w:val="7E251F96"/>
    <w:rsid w:val="7E2B43EA"/>
    <w:rsid w:val="7E887650"/>
    <w:rsid w:val="7F1749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qFormat="1" w:unhideWhenUsed="0" w:uiPriority="0" w:name="endnote reference"/>
    <w:lsdException w:qFormat="1" w:unhideWhenUsed="0" w:uiPriority="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26">
    <w:name w:val="Default Paragraph Font"/>
    <w:semiHidden/>
    <w:unhideWhenUsed/>
    <w:qFormat/>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2">
    <w:name w:val="index 8"/>
    <w:basedOn w:val="1"/>
    <w:next w:val="1"/>
    <w:qFormat/>
    <w:uiPriority w:val="0"/>
    <w:pPr>
      <w:ind w:left="1680" w:hanging="210"/>
      <w:jc w:val="left"/>
    </w:pPr>
    <w:rPr>
      <w:rFonts w:ascii="Calibri" w:hAnsi="Calibri"/>
      <w:sz w:val="20"/>
      <w:szCs w:val="20"/>
    </w:rPr>
  </w:style>
  <w:style w:type="paragraph" w:styleId="3">
    <w:name w:val="caption"/>
    <w:basedOn w:val="1"/>
    <w:next w:val="1"/>
    <w:qFormat/>
    <w:uiPriority w:val="0"/>
    <w:pPr>
      <w:spacing w:before="152" w:after="160"/>
    </w:pPr>
    <w:rPr>
      <w:rFonts w:ascii="Arial" w:hAnsi="Arial" w:eastAsia="黑体" w:cs="Arial"/>
      <w:sz w:val="20"/>
      <w:szCs w:val="20"/>
    </w:rPr>
  </w:style>
  <w:style w:type="paragraph" w:styleId="4">
    <w:name w:val="index 5"/>
    <w:basedOn w:val="1"/>
    <w:next w:val="1"/>
    <w:qFormat/>
    <w:uiPriority w:val="0"/>
    <w:pPr>
      <w:ind w:left="1050" w:hanging="210"/>
      <w:jc w:val="left"/>
    </w:pPr>
    <w:rPr>
      <w:rFonts w:ascii="Calibri" w:hAnsi="Calibri"/>
      <w:sz w:val="20"/>
      <w:szCs w:val="20"/>
    </w:rPr>
  </w:style>
  <w:style w:type="paragraph" w:styleId="5">
    <w:name w:val="Document Map"/>
    <w:basedOn w:val="1"/>
    <w:semiHidden/>
    <w:qFormat/>
    <w:uiPriority w:val="0"/>
    <w:pPr>
      <w:shd w:val="clear" w:color="auto" w:fill="000080"/>
    </w:pPr>
  </w:style>
  <w:style w:type="paragraph" w:styleId="6">
    <w:name w:val="annotation text"/>
    <w:basedOn w:val="1"/>
    <w:link w:val="141"/>
    <w:qFormat/>
    <w:uiPriority w:val="0"/>
    <w:pPr>
      <w:jc w:val="left"/>
    </w:pPr>
  </w:style>
  <w:style w:type="paragraph" w:styleId="7">
    <w:name w:val="index 6"/>
    <w:basedOn w:val="1"/>
    <w:next w:val="1"/>
    <w:qFormat/>
    <w:uiPriority w:val="0"/>
    <w:pPr>
      <w:ind w:left="1260" w:hanging="210"/>
      <w:jc w:val="left"/>
    </w:pPr>
    <w:rPr>
      <w:rFonts w:ascii="Calibri" w:hAnsi="Calibri"/>
      <w:sz w:val="20"/>
      <w:szCs w:val="20"/>
    </w:rPr>
  </w:style>
  <w:style w:type="paragraph" w:styleId="8">
    <w:name w:val="index 4"/>
    <w:basedOn w:val="1"/>
    <w:next w:val="1"/>
    <w:qFormat/>
    <w:uiPriority w:val="0"/>
    <w:pPr>
      <w:ind w:left="840" w:hanging="210"/>
      <w:jc w:val="left"/>
    </w:pPr>
    <w:rPr>
      <w:rFonts w:ascii="Calibri" w:hAnsi="Calibri"/>
      <w:sz w:val="20"/>
      <w:szCs w:val="20"/>
    </w:rPr>
  </w:style>
  <w:style w:type="paragraph" w:styleId="9">
    <w:name w:val="index 3"/>
    <w:basedOn w:val="1"/>
    <w:next w:val="1"/>
    <w:qFormat/>
    <w:uiPriority w:val="0"/>
    <w:pPr>
      <w:ind w:left="630" w:hanging="210"/>
      <w:jc w:val="left"/>
    </w:pPr>
    <w:rPr>
      <w:rFonts w:ascii="Calibri" w:hAnsi="Calibri"/>
      <w:sz w:val="20"/>
      <w:szCs w:val="20"/>
    </w:rPr>
  </w:style>
  <w:style w:type="paragraph" w:styleId="10">
    <w:name w:val="endnote text"/>
    <w:basedOn w:val="1"/>
    <w:semiHidden/>
    <w:qFormat/>
    <w:uiPriority w:val="0"/>
    <w:pPr>
      <w:snapToGrid w:val="0"/>
      <w:jc w:val="left"/>
    </w:pPr>
  </w:style>
  <w:style w:type="paragraph" w:styleId="11">
    <w:name w:val="Balloon Text"/>
    <w:basedOn w:val="1"/>
    <w:link w:val="140"/>
    <w:qFormat/>
    <w:uiPriority w:val="0"/>
    <w:rPr>
      <w:sz w:val="18"/>
      <w:szCs w:val="18"/>
    </w:rPr>
  </w:style>
  <w:style w:type="paragraph" w:styleId="12">
    <w:name w:val="footer"/>
    <w:basedOn w:val="1"/>
    <w:qFormat/>
    <w:uiPriority w:val="0"/>
    <w:pPr>
      <w:snapToGrid w:val="0"/>
      <w:ind w:right="210" w:rightChars="100"/>
      <w:jc w:val="right"/>
    </w:pPr>
    <w:rPr>
      <w:sz w:val="18"/>
      <w:szCs w:val="18"/>
    </w:rPr>
  </w:style>
  <w:style w:type="paragraph" w:styleId="13">
    <w:name w:val="header"/>
    <w:basedOn w:val="1"/>
    <w:qFormat/>
    <w:uiPriority w:val="0"/>
    <w:pPr>
      <w:snapToGrid w:val="0"/>
      <w:jc w:val="left"/>
    </w:pPr>
    <w:rPr>
      <w:sz w:val="18"/>
      <w:szCs w:val="18"/>
    </w:rPr>
  </w:style>
  <w:style w:type="paragraph" w:styleId="14">
    <w:name w:val="toc 1"/>
    <w:basedOn w:val="1"/>
    <w:next w:val="1"/>
    <w:qFormat/>
    <w:uiPriority w:val="39"/>
  </w:style>
  <w:style w:type="paragraph" w:styleId="15">
    <w:name w:val="index heading"/>
    <w:basedOn w:val="1"/>
    <w:next w:val="16"/>
    <w:qFormat/>
    <w:uiPriority w:val="0"/>
    <w:pPr>
      <w:spacing w:before="120" w:after="120"/>
      <w:jc w:val="center"/>
    </w:pPr>
    <w:rPr>
      <w:rFonts w:ascii="Calibri" w:hAnsi="Calibri"/>
      <w:b/>
      <w:bCs/>
      <w:iCs/>
      <w:szCs w:val="20"/>
    </w:rPr>
  </w:style>
  <w:style w:type="paragraph" w:styleId="16">
    <w:name w:val="index 1"/>
    <w:basedOn w:val="1"/>
    <w:next w:val="17"/>
    <w:qFormat/>
    <w:uiPriority w:val="0"/>
    <w:pPr>
      <w:tabs>
        <w:tab w:val="right" w:leader="dot" w:pos="9299"/>
      </w:tabs>
      <w:jc w:val="left"/>
    </w:pPr>
    <w:rPr>
      <w:rFonts w:ascii="宋体"/>
      <w:szCs w:val="21"/>
    </w:rPr>
  </w:style>
  <w:style w:type="paragraph" w:customStyle="1" w:styleId="17">
    <w:name w:val="段"/>
    <w:link w:val="33"/>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styleId="18">
    <w:name w:val="footnote text"/>
    <w:basedOn w:val="1"/>
    <w:qFormat/>
    <w:uiPriority w:val="0"/>
    <w:pPr>
      <w:numPr>
        <w:ilvl w:val="0"/>
        <w:numId w:val="1"/>
      </w:numPr>
      <w:snapToGrid w:val="0"/>
      <w:jc w:val="left"/>
    </w:pPr>
    <w:rPr>
      <w:rFonts w:ascii="宋体"/>
      <w:sz w:val="18"/>
      <w:szCs w:val="18"/>
    </w:rPr>
  </w:style>
  <w:style w:type="paragraph" w:styleId="19">
    <w:name w:val="index 7"/>
    <w:basedOn w:val="1"/>
    <w:next w:val="1"/>
    <w:qFormat/>
    <w:uiPriority w:val="0"/>
    <w:pPr>
      <w:ind w:left="1470" w:hanging="210"/>
      <w:jc w:val="left"/>
    </w:pPr>
    <w:rPr>
      <w:rFonts w:ascii="Calibri" w:hAnsi="Calibri"/>
      <w:sz w:val="20"/>
      <w:szCs w:val="20"/>
    </w:rPr>
  </w:style>
  <w:style w:type="paragraph" w:styleId="20">
    <w:name w:val="index 9"/>
    <w:basedOn w:val="1"/>
    <w:next w:val="1"/>
    <w:qFormat/>
    <w:uiPriority w:val="0"/>
    <w:pPr>
      <w:ind w:left="1890" w:hanging="210"/>
      <w:jc w:val="left"/>
    </w:pPr>
    <w:rPr>
      <w:rFonts w:ascii="Calibri" w:hAnsi="Calibri"/>
      <w:sz w:val="20"/>
      <w:szCs w:val="20"/>
    </w:rPr>
  </w:style>
  <w:style w:type="paragraph" w:styleId="21">
    <w:name w:val="Normal (Web)"/>
    <w:basedOn w:val="1"/>
    <w:qFormat/>
    <w:uiPriority w:val="0"/>
    <w:pPr>
      <w:spacing w:beforeAutospacing="1" w:afterAutospacing="1"/>
      <w:jc w:val="left"/>
    </w:pPr>
    <w:rPr>
      <w:kern w:val="0"/>
      <w:sz w:val="24"/>
    </w:rPr>
  </w:style>
  <w:style w:type="paragraph" w:styleId="22">
    <w:name w:val="index 2"/>
    <w:basedOn w:val="1"/>
    <w:next w:val="1"/>
    <w:qFormat/>
    <w:uiPriority w:val="0"/>
    <w:pPr>
      <w:ind w:left="420" w:hanging="210"/>
      <w:jc w:val="left"/>
    </w:pPr>
    <w:rPr>
      <w:rFonts w:ascii="Calibri" w:hAnsi="Calibri"/>
      <w:sz w:val="20"/>
      <w:szCs w:val="20"/>
    </w:rPr>
  </w:style>
  <w:style w:type="paragraph" w:styleId="23">
    <w:name w:val="annotation subject"/>
    <w:basedOn w:val="6"/>
    <w:next w:val="6"/>
    <w:link w:val="142"/>
    <w:qFormat/>
    <w:uiPriority w:val="0"/>
    <w:rPr>
      <w:b/>
      <w:bCs/>
    </w:rPr>
  </w:style>
  <w:style w:type="table" w:styleId="25">
    <w:name w:val="Table Grid"/>
    <w:basedOn w:val="24"/>
    <w:qFormat/>
    <w:uiPriority w:val="0"/>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27">
    <w:name w:val="Strong"/>
    <w:basedOn w:val="26"/>
    <w:qFormat/>
    <w:uiPriority w:val="0"/>
    <w:rPr>
      <w:b/>
    </w:rPr>
  </w:style>
  <w:style w:type="character" w:styleId="28">
    <w:name w:val="endnote reference"/>
    <w:semiHidden/>
    <w:qFormat/>
    <w:uiPriority w:val="0"/>
    <w:rPr>
      <w:vertAlign w:val="superscript"/>
    </w:rPr>
  </w:style>
  <w:style w:type="character" w:styleId="29">
    <w:name w:val="page number"/>
    <w:basedOn w:val="26"/>
    <w:qFormat/>
    <w:uiPriority w:val="0"/>
    <w:rPr>
      <w:rFonts w:ascii="Times New Roman" w:hAnsi="Times New Roman" w:eastAsia="宋体"/>
      <w:sz w:val="18"/>
    </w:rPr>
  </w:style>
  <w:style w:type="character" w:styleId="30">
    <w:name w:val="Hyperlink"/>
    <w:qFormat/>
    <w:uiPriority w:val="99"/>
    <w:rPr>
      <w:color w:val="0000FF"/>
      <w:spacing w:val="0"/>
      <w:w w:val="100"/>
      <w:szCs w:val="21"/>
      <w:u w:val="single"/>
    </w:rPr>
  </w:style>
  <w:style w:type="character" w:styleId="31">
    <w:name w:val="annotation reference"/>
    <w:basedOn w:val="26"/>
    <w:qFormat/>
    <w:uiPriority w:val="0"/>
    <w:rPr>
      <w:sz w:val="21"/>
      <w:szCs w:val="21"/>
    </w:rPr>
  </w:style>
  <w:style w:type="character" w:styleId="32">
    <w:name w:val="footnote reference"/>
    <w:semiHidden/>
    <w:qFormat/>
    <w:uiPriority w:val="0"/>
    <w:rPr>
      <w:vertAlign w:val="superscript"/>
    </w:rPr>
  </w:style>
  <w:style w:type="character" w:customStyle="1" w:styleId="33">
    <w:name w:val="段 Char"/>
    <w:link w:val="17"/>
    <w:qFormat/>
    <w:uiPriority w:val="0"/>
    <w:rPr>
      <w:rFonts w:ascii="宋体"/>
      <w:sz w:val="21"/>
      <w:lang w:val="en-US" w:eastAsia="zh-CN" w:bidi="ar-SA"/>
    </w:rPr>
  </w:style>
  <w:style w:type="paragraph" w:customStyle="1" w:styleId="34">
    <w:name w:val="一级条标题"/>
    <w:next w:val="17"/>
    <w:qFormat/>
    <w:uiPriority w:val="0"/>
    <w:pPr>
      <w:numPr>
        <w:ilvl w:val="1"/>
        <w:numId w:val="2"/>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35">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36">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37">
    <w:name w:val="章标题"/>
    <w:next w:val="17"/>
    <w:qFormat/>
    <w:uiPriority w:val="0"/>
    <w:pPr>
      <w:numPr>
        <w:ilvl w:val="0"/>
        <w:numId w:val="2"/>
      </w:numPr>
      <w:spacing w:before="312" w:beforeLines="100" w:after="312" w:afterLines="100"/>
      <w:jc w:val="both"/>
      <w:outlineLvl w:val="1"/>
    </w:pPr>
    <w:rPr>
      <w:rFonts w:ascii="黑体" w:hAnsi="Times New Roman" w:eastAsia="黑体" w:cs="Times New Roman"/>
      <w:sz w:val="21"/>
      <w:lang w:val="en-US" w:eastAsia="zh-CN" w:bidi="ar-SA"/>
    </w:rPr>
  </w:style>
  <w:style w:type="paragraph" w:customStyle="1" w:styleId="38">
    <w:name w:val="二级条标题"/>
    <w:basedOn w:val="34"/>
    <w:next w:val="17"/>
    <w:qFormat/>
    <w:uiPriority w:val="0"/>
    <w:pPr>
      <w:numPr>
        <w:ilvl w:val="2"/>
      </w:numPr>
      <w:spacing w:before="50" w:after="50"/>
      <w:outlineLvl w:val="3"/>
    </w:pPr>
  </w:style>
  <w:style w:type="paragraph" w:customStyle="1" w:styleId="39">
    <w:name w:val="封面标准号2"/>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paragraph" w:customStyle="1" w:styleId="40">
    <w:name w:val="列项——（一级）"/>
    <w:qFormat/>
    <w:uiPriority w:val="0"/>
    <w:pPr>
      <w:widowControl w:val="0"/>
      <w:numPr>
        <w:ilvl w:val="0"/>
        <w:numId w:val="3"/>
      </w:numPr>
      <w:jc w:val="both"/>
    </w:pPr>
    <w:rPr>
      <w:rFonts w:ascii="宋体" w:hAnsi="Times New Roman" w:eastAsia="宋体" w:cs="Times New Roman"/>
      <w:sz w:val="21"/>
      <w:lang w:val="en-US" w:eastAsia="zh-CN" w:bidi="ar-SA"/>
    </w:rPr>
  </w:style>
  <w:style w:type="paragraph" w:customStyle="1" w:styleId="41">
    <w:name w:val="列项●（二级）"/>
    <w:qFormat/>
    <w:uiPriority w:val="0"/>
    <w:pPr>
      <w:numPr>
        <w:ilvl w:val="1"/>
        <w:numId w:val="3"/>
      </w:numPr>
      <w:tabs>
        <w:tab w:val="left" w:pos="840"/>
      </w:tabs>
      <w:jc w:val="both"/>
    </w:pPr>
    <w:rPr>
      <w:rFonts w:ascii="宋体" w:hAnsi="Times New Roman" w:eastAsia="宋体" w:cs="Times New Roman"/>
      <w:sz w:val="21"/>
      <w:lang w:val="en-US" w:eastAsia="zh-CN" w:bidi="ar-SA"/>
    </w:rPr>
  </w:style>
  <w:style w:type="paragraph" w:customStyle="1" w:styleId="42">
    <w:name w:val="目次、标准名称标题"/>
    <w:basedOn w:val="1"/>
    <w:next w:val="17"/>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43">
    <w:name w:val="三级条标题"/>
    <w:basedOn w:val="38"/>
    <w:next w:val="17"/>
    <w:qFormat/>
    <w:uiPriority w:val="0"/>
    <w:pPr>
      <w:numPr>
        <w:ilvl w:val="3"/>
      </w:numPr>
      <w:outlineLvl w:val="4"/>
    </w:pPr>
  </w:style>
  <w:style w:type="paragraph" w:customStyle="1" w:styleId="44">
    <w:name w:val="示例"/>
    <w:next w:val="45"/>
    <w:qFormat/>
    <w:uiPriority w:val="0"/>
    <w:pPr>
      <w:widowControl w:val="0"/>
      <w:numPr>
        <w:ilvl w:val="0"/>
        <w:numId w:val="4"/>
      </w:numPr>
      <w:jc w:val="both"/>
    </w:pPr>
    <w:rPr>
      <w:rFonts w:ascii="宋体" w:hAnsi="Times New Roman" w:eastAsia="宋体" w:cs="Times New Roman"/>
      <w:sz w:val="18"/>
      <w:szCs w:val="18"/>
      <w:lang w:val="en-US" w:eastAsia="zh-CN" w:bidi="ar-SA"/>
    </w:rPr>
  </w:style>
  <w:style w:type="paragraph" w:customStyle="1" w:styleId="45">
    <w:name w:val="示例内容"/>
    <w:qFormat/>
    <w:uiPriority w:val="0"/>
    <w:pPr>
      <w:ind w:firstLine="200" w:firstLineChars="200"/>
    </w:pPr>
    <w:rPr>
      <w:rFonts w:ascii="宋体" w:hAnsi="Times New Roman" w:eastAsia="宋体" w:cs="Times New Roman"/>
      <w:sz w:val="18"/>
      <w:szCs w:val="18"/>
      <w:lang w:val="en-US" w:eastAsia="zh-CN" w:bidi="ar-SA"/>
    </w:rPr>
  </w:style>
  <w:style w:type="paragraph" w:customStyle="1" w:styleId="46">
    <w:name w:val="数字编号列项（二级）"/>
    <w:qFormat/>
    <w:uiPriority w:val="0"/>
    <w:pPr>
      <w:numPr>
        <w:ilvl w:val="1"/>
        <w:numId w:val="5"/>
      </w:numPr>
      <w:jc w:val="both"/>
    </w:pPr>
    <w:rPr>
      <w:rFonts w:ascii="宋体" w:hAnsi="Times New Roman" w:eastAsia="宋体" w:cs="Times New Roman"/>
      <w:sz w:val="21"/>
      <w:lang w:val="en-US" w:eastAsia="zh-CN" w:bidi="ar-SA"/>
    </w:rPr>
  </w:style>
  <w:style w:type="paragraph" w:customStyle="1" w:styleId="47">
    <w:name w:val="四级条标题"/>
    <w:basedOn w:val="43"/>
    <w:next w:val="17"/>
    <w:qFormat/>
    <w:uiPriority w:val="0"/>
    <w:pPr>
      <w:numPr>
        <w:ilvl w:val="4"/>
      </w:numPr>
      <w:outlineLvl w:val="5"/>
    </w:pPr>
  </w:style>
  <w:style w:type="paragraph" w:customStyle="1" w:styleId="48">
    <w:name w:val="五级条标题"/>
    <w:basedOn w:val="47"/>
    <w:next w:val="17"/>
    <w:qFormat/>
    <w:uiPriority w:val="0"/>
    <w:pPr>
      <w:numPr>
        <w:ilvl w:val="5"/>
      </w:numPr>
      <w:outlineLvl w:val="6"/>
    </w:pPr>
  </w:style>
  <w:style w:type="paragraph" w:customStyle="1" w:styleId="49">
    <w:name w:val="注："/>
    <w:next w:val="17"/>
    <w:qFormat/>
    <w:uiPriority w:val="0"/>
    <w:pPr>
      <w:widowControl w:val="0"/>
      <w:numPr>
        <w:ilvl w:val="0"/>
        <w:numId w:val="6"/>
      </w:numPr>
      <w:autoSpaceDE w:val="0"/>
      <w:autoSpaceDN w:val="0"/>
      <w:jc w:val="both"/>
    </w:pPr>
    <w:rPr>
      <w:rFonts w:ascii="宋体" w:hAnsi="Times New Roman" w:eastAsia="宋体" w:cs="Times New Roman"/>
      <w:sz w:val="18"/>
      <w:szCs w:val="18"/>
      <w:lang w:val="en-US" w:eastAsia="zh-CN" w:bidi="ar-SA"/>
    </w:rPr>
  </w:style>
  <w:style w:type="paragraph" w:customStyle="1" w:styleId="50">
    <w:name w:val="注×："/>
    <w:qFormat/>
    <w:uiPriority w:val="0"/>
    <w:pPr>
      <w:widowControl w:val="0"/>
      <w:numPr>
        <w:ilvl w:val="0"/>
        <w:numId w:val="7"/>
      </w:numPr>
      <w:autoSpaceDE w:val="0"/>
      <w:autoSpaceDN w:val="0"/>
      <w:jc w:val="both"/>
    </w:pPr>
    <w:rPr>
      <w:rFonts w:ascii="宋体" w:hAnsi="Times New Roman" w:eastAsia="宋体" w:cs="Times New Roman"/>
      <w:sz w:val="18"/>
      <w:szCs w:val="18"/>
      <w:lang w:val="en-US" w:eastAsia="zh-CN" w:bidi="ar-SA"/>
    </w:rPr>
  </w:style>
  <w:style w:type="paragraph" w:customStyle="1" w:styleId="51">
    <w:name w:val="字母编号列项（一级）"/>
    <w:qFormat/>
    <w:uiPriority w:val="0"/>
    <w:pPr>
      <w:numPr>
        <w:ilvl w:val="0"/>
        <w:numId w:val="5"/>
      </w:numPr>
      <w:jc w:val="both"/>
    </w:pPr>
    <w:rPr>
      <w:rFonts w:ascii="宋体" w:hAnsi="Times New Roman" w:eastAsia="宋体" w:cs="Times New Roman"/>
      <w:sz w:val="21"/>
      <w:lang w:val="en-US" w:eastAsia="zh-CN" w:bidi="ar-SA"/>
    </w:rPr>
  </w:style>
  <w:style w:type="paragraph" w:customStyle="1" w:styleId="52">
    <w:name w:val="列项◆（三级）"/>
    <w:basedOn w:val="1"/>
    <w:qFormat/>
    <w:uiPriority w:val="0"/>
    <w:pPr>
      <w:numPr>
        <w:ilvl w:val="2"/>
        <w:numId w:val="3"/>
      </w:numPr>
    </w:pPr>
    <w:rPr>
      <w:rFonts w:ascii="宋体"/>
      <w:szCs w:val="21"/>
    </w:rPr>
  </w:style>
  <w:style w:type="paragraph" w:customStyle="1" w:styleId="53">
    <w:name w:val="编号列项（三级）"/>
    <w:qFormat/>
    <w:uiPriority w:val="0"/>
    <w:pPr>
      <w:numPr>
        <w:ilvl w:val="2"/>
        <w:numId w:val="5"/>
      </w:numPr>
    </w:pPr>
    <w:rPr>
      <w:rFonts w:ascii="宋体" w:hAnsi="Times New Roman" w:eastAsia="宋体" w:cs="Times New Roman"/>
      <w:sz w:val="21"/>
      <w:lang w:val="en-US" w:eastAsia="zh-CN" w:bidi="ar-SA"/>
    </w:rPr>
  </w:style>
  <w:style w:type="paragraph" w:customStyle="1" w:styleId="54">
    <w:name w:val="示例×："/>
    <w:basedOn w:val="37"/>
    <w:qFormat/>
    <w:uiPriority w:val="0"/>
    <w:pPr>
      <w:numPr>
        <w:numId w:val="8"/>
      </w:numPr>
      <w:spacing w:before="0" w:beforeLines="0" w:after="0" w:afterLines="0"/>
      <w:outlineLvl w:val="9"/>
    </w:pPr>
    <w:rPr>
      <w:rFonts w:ascii="宋体" w:eastAsia="宋体"/>
      <w:sz w:val="18"/>
      <w:szCs w:val="18"/>
    </w:rPr>
  </w:style>
  <w:style w:type="paragraph" w:customStyle="1" w:styleId="55">
    <w:name w:val="二级无"/>
    <w:basedOn w:val="38"/>
    <w:qFormat/>
    <w:uiPriority w:val="0"/>
    <w:pPr>
      <w:spacing w:before="0" w:beforeLines="0" w:after="0" w:afterLines="0"/>
    </w:pPr>
    <w:rPr>
      <w:rFonts w:ascii="宋体" w:eastAsia="宋体"/>
    </w:rPr>
  </w:style>
  <w:style w:type="paragraph" w:customStyle="1" w:styleId="56">
    <w:name w:val="注：（正文）"/>
    <w:basedOn w:val="49"/>
    <w:next w:val="17"/>
    <w:qFormat/>
    <w:uiPriority w:val="0"/>
  </w:style>
  <w:style w:type="paragraph" w:customStyle="1" w:styleId="57">
    <w:name w:val="注×：（正文）"/>
    <w:qFormat/>
    <w:uiPriority w:val="0"/>
    <w:pPr>
      <w:numPr>
        <w:ilvl w:val="0"/>
        <w:numId w:val="9"/>
      </w:numPr>
      <w:jc w:val="both"/>
    </w:pPr>
    <w:rPr>
      <w:rFonts w:ascii="宋体" w:hAnsi="Times New Roman" w:eastAsia="宋体" w:cs="Times New Roman"/>
      <w:sz w:val="18"/>
      <w:szCs w:val="18"/>
      <w:lang w:val="en-US" w:eastAsia="zh-CN" w:bidi="ar-SA"/>
    </w:rPr>
  </w:style>
  <w:style w:type="paragraph" w:customStyle="1" w:styleId="58">
    <w:name w:val="标准标志"/>
    <w:next w:val="1"/>
    <w:qFormat/>
    <w:uiPriority w:val="0"/>
    <w:pPr>
      <w:framePr w:w="2546" w:h="1389" w:hRule="exact" w:hSpace="181" w:vSpace="181" w:wrap="around" w:vAnchor="margin" w:hAnchor="margin" w:x="6522" w:y="398" w:anchorLock="1"/>
      <w:shd w:val="solid" w:color="FFFFFF" w:fill="FFFFFF"/>
      <w:spacing w:line="0" w:lineRule="atLeast"/>
      <w:jc w:val="right"/>
    </w:pPr>
    <w:rPr>
      <w:rFonts w:ascii="Times New Roman" w:hAnsi="Times New Roman" w:eastAsia="宋体" w:cs="Times New Roman"/>
      <w:b/>
      <w:w w:val="170"/>
      <w:sz w:val="96"/>
      <w:szCs w:val="96"/>
      <w:lang w:val="en-US" w:eastAsia="zh-CN" w:bidi="ar-SA"/>
    </w:rPr>
  </w:style>
  <w:style w:type="paragraph" w:customStyle="1" w:styleId="59">
    <w:name w:val="标准称谓"/>
    <w:next w:val="1"/>
    <w:qFormat/>
    <w:uiPriority w:val="0"/>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hAnsi="Times New Roman" w:eastAsia="宋体" w:cs="Times New Roman"/>
      <w:b/>
      <w:bCs/>
      <w:spacing w:val="20"/>
      <w:w w:val="148"/>
      <w:sz w:val="48"/>
      <w:lang w:val="en-US" w:eastAsia="zh-CN" w:bidi="ar-SA"/>
    </w:rPr>
  </w:style>
  <w:style w:type="paragraph" w:customStyle="1" w:styleId="60">
    <w:name w:val="标准书脚_偶数页"/>
    <w:qFormat/>
    <w:uiPriority w:val="0"/>
    <w:pPr>
      <w:spacing w:before="120"/>
      <w:ind w:left="221"/>
    </w:pPr>
    <w:rPr>
      <w:rFonts w:ascii="宋体" w:hAnsi="Times New Roman" w:eastAsia="宋体" w:cs="Times New Roman"/>
      <w:sz w:val="18"/>
      <w:szCs w:val="18"/>
      <w:lang w:val="en-US" w:eastAsia="zh-CN" w:bidi="ar-SA"/>
    </w:rPr>
  </w:style>
  <w:style w:type="paragraph" w:customStyle="1" w:styleId="61">
    <w:name w:val="标准书眉_偶数页"/>
    <w:basedOn w:val="36"/>
    <w:next w:val="1"/>
    <w:qFormat/>
    <w:uiPriority w:val="0"/>
    <w:pPr>
      <w:jc w:val="left"/>
    </w:pPr>
  </w:style>
  <w:style w:type="paragraph" w:customStyle="1" w:styleId="62">
    <w:name w:val="标准书眉一"/>
    <w:qFormat/>
    <w:uiPriority w:val="0"/>
    <w:pPr>
      <w:jc w:val="both"/>
    </w:pPr>
    <w:rPr>
      <w:rFonts w:ascii="Times New Roman" w:hAnsi="Times New Roman" w:eastAsia="宋体" w:cs="Times New Roman"/>
      <w:lang w:val="en-US" w:eastAsia="zh-CN" w:bidi="ar-SA"/>
    </w:rPr>
  </w:style>
  <w:style w:type="paragraph" w:customStyle="1" w:styleId="63">
    <w:name w:val="参考文献"/>
    <w:basedOn w:val="1"/>
    <w:next w:val="17"/>
    <w:qFormat/>
    <w:uiPriority w:val="0"/>
    <w:pPr>
      <w:keepNext/>
      <w:pageBreakBefore/>
      <w:widowControl/>
      <w:shd w:val="clear" w:color="FFFFFF" w:fill="FFFFFF"/>
      <w:spacing w:before="640" w:after="200"/>
      <w:jc w:val="center"/>
      <w:outlineLvl w:val="0"/>
    </w:pPr>
    <w:rPr>
      <w:rFonts w:ascii="黑体" w:eastAsia="黑体"/>
      <w:kern w:val="0"/>
      <w:szCs w:val="20"/>
    </w:rPr>
  </w:style>
  <w:style w:type="paragraph" w:customStyle="1" w:styleId="64">
    <w:name w:val="参考文献、索引标题"/>
    <w:basedOn w:val="1"/>
    <w:next w:val="17"/>
    <w:qFormat/>
    <w:uiPriority w:val="0"/>
    <w:pPr>
      <w:keepNext/>
      <w:pageBreakBefore/>
      <w:widowControl/>
      <w:shd w:val="clear" w:color="FFFFFF" w:fill="FFFFFF"/>
      <w:spacing w:before="640" w:after="200"/>
      <w:jc w:val="center"/>
      <w:outlineLvl w:val="0"/>
    </w:pPr>
    <w:rPr>
      <w:rFonts w:ascii="黑体" w:eastAsia="黑体"/>
      <w:kern w:val="0"/>
      <w:szCs w:val="20"/>
    </w:rPr>
  </w:style>
  <w:style w:type="character" w:customStyle="1" w:styleId="65">
    <w:name w:val="发布"/>
    <w:qFormat/>
    <w:uiPriority w:val="0"/>
    <w:rPr>
      <w:rFonts w:ascii="黑体" w:eastAsia="黑体"/>
      <w:spacing w:val="85"/>
      <w:w w:val="100"/>
      <w:position w:val="3"/>
      <w:sz w:val="28"/>
      <w:szCs w:val="28"/>
    </w:rPr>
  </w:style>
  <w:style w:type="paragraph" w:customStyle="1" w:styleId="66">
    <w:name w:val="发布部门"/>
    <w:next w:val="17"/>
    <w:qFormat/>
    <w:uiPriority w:val="0"/>
    <w:pPr>
      <w:framePr w:w="7938" w:h="1134" w:hRule="exact" w:hSpace="125" w:vSpace="181" w:wrap="around" w:vAnchor="page" w:hAnchor="page" w:x="2150" w:y="14630" w:anchorLock="1"/>
      <w:jc w:val="center"/>
    </w:pPr>
    <w:rPr>
      <w:rFonts w:ascii="宋体" w:hAnsi="Times New Roman" w:eastAsia="宋体" w:cs="Times New Roman"/>
      <w:b/>
      <w:spacing w:val="20"/>
      <w:w w:val="135"/>
      <w:sz w:val="28"/>
      <w:lang w:val="en-US" w:eastAsia="zh-CN" w:bidi="ar-SA"/>
    </w:rPr>
  </w:style>
  <w:style w:type="paragraph" w:customStyle="1" w:styleId="67">
    <w:name w:val="发布日期"/>
    <w:qFormat/>
    <w:uiPriority w:val="0"/>
    <w:pPr>
      <w:framePr w:w="3997" w:h="471" w:hRule="exact" w:vSpace="181" w:wrap="around" w:vAnchor="margin" w:hAnchor="page" w:x="7089" w:y="14097" w:anchorLock="1"/>
    </w:pPr>
    <w:rPr>
      <w:rFonts w:ascii="Times New Roman" w:hAnsi="Times New Roman" w:eastAsia="黑体" w:cs="Times New Roman"/>
      <w:sz w:val="28"/>
      <w:lang w:val="en-US" w:eastAsia="zh-CN" w:bidi="ar-SA"/>
    </w:rPr>
  </w:style>
  <w:style w:type="paragraph" w:customStyle="1" w:styleId="68">
    <w:name w:val="封面标准代替信息"/>
    <w:qFormat/>
    <w:uiPriority w:val="0"/>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6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70">
    <w:name w:val="封面标准名称"/>
    <w:qFormat/>
    <w:uiPriority w:val="0"/>
    <w:pPr>
      <w:framePr w:w="9639" w:h="6917" w:hRule="exact" w:wrap="around" w:vAnchor="page" w:hAnchor="page" w:xAlign="center" w:y="6408"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71">
    <w:name w:val="封面标准英文名称"/>
    <w:basedOn w:val="70"/>
    <w:qFormat/>
    <w:uiPriority w:val="0"/>
    <w:pPr>
      <w:framePr w:wrap="around"/>
      <w:spacing w:before="370" w:line="400" w:lineRule="exact"/>
    </w:pPr>
    <w:rPr>
      <w:rFonts w:ascii="Times New Roman"/>
      <w:sz w:val="28"/>
      <w:szCs w:val="28"/>
    </w:rPr>
  </w:style>
  <w:style w:type="paragraph" w:customStyle="1" w:styleId="72">
    <w:name w:val="封面一致性程度标识"/>
    <w:basedOn w:val="71"/>
    <w:qFormat/>
    <w:uiPriority w:val="0"/>
    <w:pPr>
      <w:framePr w:wrap="around"/>
      <w:spacing w:before="440"/>
    </w:pPr>
    <w:rPr>
      <w:rFonts w:ascii="宋体" w:eastAsia="宋体"/>
    </w:rPr>
  </w:style>
  <w:style w:type="paragraph" w:customStyle="1" w:styleId="73">
    <w:name w:val="封面标准文稿类别"/>
    <w:basedOn w:val="72"/>
    <w:qFormat/>
    <w:uiPriority w:val="0"/>
    <w:pPr>
      <w:framePr w:wrap="around"/>
      <w:spacing w:after="160" w:line="240" w:lineRule="auto"/>
    </w:pPr>
    <w:rPr>
      <w:sz w:val="24"/>
    </w:rPr>
  </w:style>
  <w:style w:type="paragraph" w:customStyle="1" w:styleId="74">
    <w:name w:val="封面标准文稿编辑信息"/>
    <w:basedOn w:val="73"/>
    <w:qFormat/>
    <w:uiPriority w:val="0"/>
    <w:pPr>
      <w:framePr w:wrap="around"/>
      <w:spacing w:before="180" w:line="180" w:lineRule="exact"/>
    </w:pPr>
    <w:rPr>
      <w:sz w:val="21"/>
    </w:rPr>
  </w:style>
  <w:style w:type="paragraph" w:customStyle="1" w:styleId="75">
    <w:name w:val="封面正文"/>
    <w:qFormat/>
    <w:uiPriority w:val="0"/>
    <w:pPr>
      <w:jc w:val="both"/>
    </w:pPr>
    <w:rPr>
      <w:rFonts w:ascii="Times New Roman" w:hAnsi="Times New Roman" w:eastAsia="宋体" w:cs="Times New Roman"/>
      <w:lang w:val="en-US" w:eastAsia="zh-CN" w:bidi="ar-SA"/>
    </w:rPr>
  </w:style>
  <w:style w:type="paragraph" w:customStyle="1" w:styleId="76">
    <w:name w:val="附录标识"/>
    <w:basedOn w:val="1"/>
    <w:next w:val="17"/>
    <w:qFormat/>
    <w:uiPriority w:val="0"/>
    <w:pPr>
      <w:keepNext/>
      <w:widowControl/>
      <w:numPr>
        <w:ilvl w:val="0"/>
        <w:numId w:val="10"/>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77">
    <w:name w:val="附录标题"/>
    <w:basedOn w:val="17"/>
    <w:next w:val="17"/>
    <w:qFormat/>
    <w:uiPriority w:val="0"/>
    <w:pPr>
      <w:ind w:firstLine="0" w:firstLineChars="0"/>
      <w:jc w:val="center"/>
    </w:pPr>
    <w:rPr>
      <w:rFonts w:ascii="黑体" w:eastAsia="黑体"/>
    </w:rPr>
  </w:style>
  <w:style w:type="paragraph" w:customStyle="1" w:styleId="78">
    <w:name w:val="附录表标号"/>
    <w:basedOn w:val="1"/>
    <w:next w:val="17"/>
    <w:qFormat/>
    <w:uiPriority w:val="0"/>
    <w:pPr>
      <w:numPr>
        <w:ilvl w:val="0"/>
        <w:numId w:val="11"/>
      </w:numPr>
      <w:tabs>
        <w:tab w:val="clear" w:pos="0"/>
      </w:tabs>
      <w:spacing w:line="14" w:lineRule="exact"/>
      <w:ind w:left="811" w:hanging="448"/>
      <w:jc w:val="center"/>
      <w:outlineLvl w:val="0"/>
    </w:pPr>
    <w:rPr>
      <w:color w:val="FFFFFF"/>
    </w:rPr>
  </w:style>
  <w:style w:type="paragraph" w:customStyle="1" w:styleId="79">
    <w:name w:val="附录表标题"/>
    <w:basedOn w:val="1"/>
    <w:next w:val="17"/>
    <w:qFormat/>
    <w:uiPriority w:val="0"/>
    <w:pPr>
      <w:numPr>
        <w:ilvl w:val="1"/>
        <w:numId w:val="11"/>
      </w:numPr>
      <w:tabs>
        <w:tab w:val="left" w:pos="180"/>
      </w:tabs>
      <w:spacing w:before="50" w:beforeLines="50" w:after="50" w:afterLines="50"/>
      <w:ind w:left="0" w:firstLine="0"/>
      <w:jc w:val="center"/>
    </w:pPr>
    <w:rPr>
      <w:rFonts w:ascii="黑体" w:eastAsia="黑体"/>
      <w:szCs w:val="21"/>
    </w:rPr>
  </w:style>
  <w:style w:type="paragraph" w:customStyle="1" w:styleId="80">
    <w:name w:val="附录二级条标题"/>
    <w:basedOn w:val="1"/>
    <w:next w:val="17"/>
    <w:qFormat/>
    <w:uiPriority w:val="0"/>
    <w:pPr>
      <w:widowControl/>
      <w:numPr>
        <w:ilvl w:val="3"/>
        <w:numId w:val="10"/>
      </w:numPr>
      <w:tabs>
        <w:tab w:val="left" w:pos="360"/>
      </w:tabs>
      <w:wordWrap w:val="0"/>
      <w:overflowPunct w:val="0"/>
      <w:autoSpaceDE w:val="0"/>
      <w:autoSpaceDN w:val="0"/>
      <w:spacing w:before="50" w:beforeLines="50" w:after="50" w:afterLines="50"/>
      <w:textAlignment w:val="baseline"/>
      <w:outlineLvl w:val="3"/>
    </w:pPr>
    <w:rPr>
      <w:rFonts w:ascii="黑体" w:eastAsia="黑体"/>
      <w:kern w:val="21"/>
      <w:szCs w:val="20"/>
    </w:rPr>
  </w:style>
  <w:style w:type="paragraph" w:customStyle="1" w:styleId="81">
    <w:name w:val="附录二级无"/>
    <w:basedOn w:val="80"/>
    <w:qFormat/>
    <w:uiPriority w:val="0"/>
    <w:pPr>
      <w:tabs>
        <w:tab w:val="clear" w:pos="360"/>
      </w:tabs>
      <w:spacing w:before="0" w:beforeLines="0" w:after="0" w:afterLines="0"/>
    </w:pPr>
    <w:rPr>
      <w:rFonts w:ascii="宋体" w:eastAsia="宋体"/>
      <w:szCs w:val="21"/>
    </w:rPr>
  </w:style>
  <w:style w:type="paragraph" w:customStyle="1" w:styleId="82">
    <w:name w:val="附录公式"/>
    <w:basedOn w:val="17"/>
    <w:next w:val="17"/>
    <w:link w:val="83"/>
    <w:qFormat/>
    <w:uiPriority w:val="0"/>
  </w:style>
  <w:style w:type="character" w:customStyle="1" w:styleId="83">
    <w:name w:val="附录公式 Char"/>
    <w:basedOn w:val="33"/>
    <w:link w:val="82"/>
    <w:qFormat/>
    <w:uiPriority w:val="0"/>
    <w:rPr>
      <w:rFonts w:ascii="宋体"/>
      <w:sz w:val="21"/>
      <w:lang w:val="en-US" w:eastAsia="zh-CN" w:bidi="ar-SA"/>
    </w:rPr>
  </w:style>
  <w:style w:type="paragraph" w:customStyle="1" w:styleId="84">
    <w:name w:val="附录公式编号制表符"/>
    <w:basedOn w:val="1"/>
    <w:next w:val="17"/>
    <w:qFormat/>
    <w:uiPriority w:val="0"/>
    <w:pPr>
      <w:widowControl/>
      <w:tabs>
        <w:tab w:val="center" w:pos="4201"/>
        <w:tab w:val="right" w:leader="dot" w:pos="9298"/>
      </w:tabs>
      <w:autoSpaceDE w:val="0"/>
      <w:autoSpaceDN w:val="0"/>
    </w:pPr>
    <w:rPr>
      <w:rFonts w:ascii="宋体"/>
      <w:kern w:val="0"/>
      <w:szCs w:val="20"/>
    </w:rPr>
  </w:style>
  <w:style w:type="paragraph" w:customStyle="1" w:styleId="85">
    <w:name w:val="附录三级条标题"/>
    <w:basedOn w:val="80"/>
    <w:next w:val="17"/>
    <w:qFormat/>
    <w:uiPriority w:val="0"/>
    <w:pPr>
      <w:numPr>
        <w:ilvl w:val="4"/>
      </w:numPr>
      <w:outlineLvl w:val="4"/>
    </w:pPr>
  </w:style>
  <w:style w:type="paragraph" w:customStyle="1" w:styleId="86">
    <w:name w:val="附录三级无"/>
    <w:basedOn w:val="85"/>
    <w:qFormat/>
    <w:uiPriority w:val="0"/>
    <w:pPr>
      <w:tabs>
        <w:tab w:val="clear" w:pos="360"/>
      </w:tabs>
      <w:spacing w:before="0" w:beforeLines="0" w:after="0" w:afterLines="0"/>
    </w:pPr>
    <w:rPr>
      <w:rFonts w:ascii="宋体" w:eastAsia="宋体"/>
      <w:szCs w:val="21"/>
    </w:rPr>
  </w:style>
  <w:style w:type="paragraph" w:customStyle="1" w:styleId="87">
    <w:name w:val="附录数字编号列项（二级）"/>
    <w:qFormat/>
    <w:uiPriority w:val="0"/>
    <w:pPr>
      <w:numPr>
        <w:ilvl w:val="1"/>
        <w:numId w:val="12"/>
      </w:numPr>
    </w:pPr>
    <w:rPr>
      <w:rFonts w:ascii="宋体" w:hAnsi="Times New Roman" w:eastAsia="宋体" w:cs="Times New Roman"/>
      <w:sz w:val="21"/>
      <w:lang w:val="en-US" w:eastAsia="zh-CN" w:bidi="ar-SA"/>
    </w:rPr>
  </w:style>
  <w:style w:type="paragraph" w:customStyle="1" w:styleId="88">
    <w:name w:val="附录四级条标题"/>
    <w:basedOn w:val="85"/>
    <w:next w:val="17"/>
    <w:qFormat/>
    <w:uiPriority w:val="0"/>
    <w:pPr>
      <w:numPr>
        <w:ilvl w:val="5"/>
      </w:numPr>
      <w:outlineLvl w:val="5"/>
    </w:pPr>
  </w:style>
  <w:style w:type="paragraph" w:customStyle="1" w:styleId="89">
    <w:name w:val="附录四级无"/>
    <w:basedOn w:val="88"/>
    <w:qFormat/>
    <w:uiPriority w:val="0"/>
    <w:pPr>
      <w:tabs>
        <w:tab w:val="clear" w:pos="360"/>
      </w:tabs>
      <w:spacing w:before="0" w:beforeLines="0" w:after="0" w:afterLines="0"/>
    </w:pPr>
    <w:rPr>
      <w:rFonts w:ascii="宋体" w:eastAsia="宋体"/>
      <w:szCs w:val="21"/>
    </w:rPr>
  </w:style>
  <w:style w:type="paragraph" w:customStyle="1" w:styleId="90">
    <w:name w:val="附录图标号"/>
    <w:basedOn w:val="1"/>
    <w:qFormat/>
    <w:uiPriority w:val="0"/>
    <w:pPr>
      <w:keepNext/>
      <w:pageBreakBefore/>
      <w:widowControl/>
      <w:numPr>
        <w:ilvl w:val="0"/>
        <w:numId w:val="13"/>
      </w:numPr>
      <w:spacing w:line="14" w:lineRule="exact"/>
      <w:ind w:left="0" w:firstLine="363"/>
      <w:jc w:val="center"/>
      <w:outlineLvl w:val="0"/>
    </w:pPr>
    <w:rPr>
      <w:color w:val="FFFFFF"/>
    </w:rPr>
  </w:style>
  <w:style w:type="paragraph" w:customStyle="1" w:styleId="91">
    <w:name w:val="附录图标题"/>
    <w:basedOn w:val="1"/>
    <w:next w:val="17"/>
    <w:qFormat/>
    <w:uiPriority w:val="0"/>
    <w:pPr>
      <w:numPr>
        <w:ilvl w:val="1"/>
        <w:numId w:val="13"/>
      </w:numPr>
      <w:tabs>
        <w:tab w:val="left" w:pos="363"/>
      </w:tabs>
      <w:spacing w:before="50" w:beforeLines="50" w:after="50" w:afterLines="50"/>
      <w:ind w:left="0" w:firstLine="0"/>
      <w:jc w:val="center"/>
    </w:pPr>
    <w:rPr>
      <w:rFonts w:ascii="黑体" w:eastAsia="黑体"/>
      <w:szCs w:val="21"/>
    </w:rPr>
  </w:style>
  <w:style w:type="paragraph" w:customStyle="1" w:styleId="92">
    <w:name w:val="附录五级条标题"/>
    <w:basedOn w:val="88"/>
    <w:next w:val="17"/>
    <w:qFormat/>
    <w:uiPriority w:val="0"/>
    <w:pPr>
      <w:numPr>
        <w:ilvl w:val="6"/>
      </w:numPr>
      <w:outlineLvl w:val="6"/>
    </w:pPr>
  </w:style>
  <w:style w:type="paragraph" w:customStyle="1" w:styleId="93">
    <w:name w:val="附录五级无"/>
    <w:basedOn w:val="92"/>
    <w:qFormat/>
    <w:uiPriority w:val="0"/>
    <w:pPr>
      <w:tabs>
        <w:tab w:val="clear" w:pos="360"/>
      </w:tabs>
      <w:spacing w:before="0" w:beforeLines="0" w:after="0" w:afterLines="0"/>
    </w:pPr>
    <w:rPr>
      <w:rFonts w:ascii="宋体" w:eastAsia="宋体"/>
      <w:szCs w:val="21"/>
    </w:rPr>
  </w:style>
  <w:style w:type="paragraph" w:customStyle="1" w:styleId="94">
    <w:name w:val="附录章标题"/>
    <w:next w:val="17"/>
    <w:qFormat/>
    <w:uiPriority w:val="0"/>
    <w:pPr>
      <w:numPr>
        <w:ilvl w:val="1"/>
        <w:numId w:val="10"/>
      </w:numPr>
      <w:tabs>
        <w:tab w:val="left" w:pos="360"/>
      </w:tabs>
      <w:wordWrap w:val="0"/>
      <w:overflowPunct w:val="0"/>
      <w:autoSpaceDE w:val="0"/>
      <w:spacing w:before="100" w:beforeLines="100" w:after="100" w:afterLines="100"/>
      <w:jc w:val="both"/>
      <w:textAlignment w:val="baseline"/>
      <w:outlineLvl w:val="1"/>
    </w:pPr>
    <w:rPr>
      <w:rFonts w:ascii="黑体" w:hAnsi="Times New Roman" w:eastAsia="黑体" w:cs="Times New Roman"/>
      <w:kern w:val="21"/>
      <w:sz w:val="21"/>
      <w:lang w:val="en-US" w:eastAsia="zh-CN" w:bidi="ar-SA"/>
    </w:rPr>
  </w:style>
  <w:style w:type="paragraph" w:customStyle="1" w:styleId="95">
    <w:name w:val="附录一级条标题"/>
    <w:basedOn w:val="94"/>
    <w:next w:val="17"/>
    <w:qFormat/>
    <w:uiPriority w:val="0"/>
    <w:pPr>
      <w:numPr>
        <w:ilvl w:val="2"/>
      </w:numPr>
      <w:autoSpaceDN w:val="0"/>
      <w:spacing w:before="50" w:beforeLines="50" w:after="50" w:afterLines="50"/>
      <w:outlineLvl w:val="2"/>
    </w:pPr>
  </w:style>
  <w:style w:type="paragraph" w:customStyle="1" w:styleId="96">
    <w:name w:val="附录一级无"/>
    <w:basedOn w:val="95"/>
    <w:qFormat/>
    <w:uiPriority w:val="0"/>
    <w:pPr>
      <w:tabs>
        <w:tab w:val="clear" w:pos="360"/>
      </w:tabs>
      <w:spacing w:before="0" w:beforeLines="0" w:after="0" w:afterLines="0"/>
    </w:pPr>
    <w:rPr>
      <w:rFonts w:ascii="宋体" w:eastAsia="宋体"/>
      <w:szCs w:val="21"/>
    </w:rPr>
  </w:style>
  <w:style w:type="paragraph" w:customStyle="1" w:styleId="97">
    <w:name w:val="附录字母编号列项（一级）"/>
    <w:qFormat/>
    <w:uiPriority w:val="0"/>
    <w:pPr>
      <w:numPr>
        <w:ilvl w:val="0"/>
        <w:numId w:val="12"/>
      </w:numPr>
    </w:pPr>
    <w:rPr>
      <w:rFonts w:ascii="宋体" w:hAnsi="Times New Roman" w:eastAsia="宋体" w:cs="Times New Roman"/>
      <w:sz w:val="21"/>
      <w:lang w:val="en-US" w:eastAsia="zh-CN" w:bidi="ar-SA"/>
    </w:rPr>
  </w:style>
  <w:style w:type="paragraph" w:customStyle="1" w:styleId="98">
    <w:name w:val="列项说明"/>
    <w:basedOn w:val="1"/>
    <w:qFormat/>
    <w:uiPriority w:val="0"/>
    <w:pPr>
      <w:adjustRightInd w:val="0"/>
      <w:spacing w:line="320" w:lineRule="exact"/>
      <w:ind w:left="400" w:leftChars="200" w:hanging="200" w:hangingChars="200"/>
      <w:jc w:val="left"/>
      <w:textAlignment w:val="baseline"/>
    </w:pPr>
    <w:rPr>
      <w:rFonts w:ascii="宋体"/>
      <w:kern w:val="0"/>
      <w:szCs w:val="20"/>
    </w:rPr>
  </w:style>
  <w:style w:type="paragraph" w:customStyle="1" w:styleId="99">
    <w:name w:val="列项说明数字编号"/>
    <w:qFormat/>
    <w:uiPriority w:val="0"/>
    <w:pPr>
      <w:ind w:left="600" w:leftChars="400" w:hanging="200" w:hangingChars="200"/>
    </w:pPr>
    <w:rPr>
      <w:rFonts w:ascii="宋体" w:hAnsi="Times New Roman" w:eastAsia="宋体" w:cs="Times New Roman"/>
      <w:sz w:val="21"/>
      <w:lang w:val="en-US" w:eastAsia="zh-CN" w:bidi="ar-SA"/>
    </w:rPr>
  </w:style>
  <w:style w:type="paragraph" w:customStyle="1" w:styleId="100">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01">
    <w:name w:val="目录 31"/>
    <w:basedOn w:val="1"/>
    <w:next w:val="1"/>
    <w:semiHidden/>
    <w:qFormat/>
    <w:uiPriority w:val="0"/>
    <w:pPr>
      <w:tabs>
        <w:tab w:val="right" w:leader="dot" w:pos="9241"/>
      </w:tabs>
      <w:ind w:firstLine="102" w:firstLineChars="100"/>
      <w:jc w:val="left"/>
    </w:pPr>
    <w:rPr>
      <w:rFonts w:ascii="宋体"/>
      <w:szCs w:val="21"/>
    </w:rPr>
  </w:style>
  <w:style w:type="paragraph" w:customStyle="1" w:styleId="102">
    <w:name w:val="目录 41"/>
    <w:basedOn w:val="1"/>
    <w:next w:val="1"/>
    <w:semiHidden/>
    <w:qFormat/>
    <w:uiPriority w:val="0"/>
    <w:pPr>
      <w:tabs>
        <w:tab w:val="right" w:leader="dot" w:pos="9241"/>
      </w:tabs>
      <w:ind w:firstLine="198" w:firstLineChars="200"/>
      <w:jc w:val="left"/>
    </w:pPr>
    <w:rPr>
      <w:rFonts w:ascii="宋体"/>
      <w:szCs w:val="21"/>
    </w:rPr>
  </w:style>
  <w:style w:type="paragraph" w:customStyle="1" w:styleId="103">
    <w:name w:val="目录 51"/>
    <w:basedOn w:val="1"/>
    <w:next w:val="1"/>
    <w:semiHidden/>
    <w:qFormat/>
    <w:uiPriority w:val="0"/>
    <w:pPr>
      <w:tabs>
        <w:tab w:val="right" w:leader="dot" w:pos="9241"/>
      </w:tabs>
      <w:ind w:firstLine="300" w:firstLineChars="300"/>
      <w:jc w:val="left"/>
    </w:pPr>
    <w:rPr>
      <w:rFonts w:ascii="宋体"/>
      <w:szCs w:val="21"/>
    </w:rPr>
  </w:style>
  <w:style w:type="paragraph" w:customStyle="1" w:styleId="104">
    <w:name w:val="目录 61"/>
    <w:basedOn w:val="1"/>
    <w:next w:val="1"/>
    <w:semiHidden/>
    <w:qFormat/>
    <w:uiPriority w:val="0"/>
    <w:pPr>
      <w:tabs>
        <w:tab w:val="right" w:leader="dot" w:pos="9241"/>
      </w:tabs>
      <w:ind w:firstLine="403" w:firstLineChars="400"/>
      <w:jc w:val="left"/>
    </w:pPr>
    <w:rPr>
      <w:rFonts w:ascii="宋体"/>
      <w:szCs w:val="21"/>
    </w:rPr>
  </w:style>
  <w:style w:type="paragraph" w:customStyle="1" w:styleId="105">
    <w:name w:val="目录 71"/>
    <w:basedOn w:val="1"/>
    <w:next w:val="1"/>
    <w:semiHidden/>
    <w:qFormat/>
    <w:uiPriority w:val="0"/>
    <w:pPr>
      <w:tabs>
        <w:tab w:val="right" w:leader="dot" w:pos="9241"/>
      </w:tabs>
      <w:ind w:firstLine="505" w:firstLineChars="500"/>
      <w:jc w:val="left"/>
    </w:pPr>
    <w:rPr>
      <w:rFonts w:ascii="宋体"/>
      <w:szCs w:val="21"/>
    </w:rPr>
  </w:style>
  <w:style w:type="paragraph" w:customStyle="1" w:styleId="106">
    <w:name w:val="目录 81"/>
    <w:basedOn w:val="1"/>
    <w:next w:val="1"/>
    <w:semiHidden/>
    <w:qFormat/>
    <w:uiPriority w:val="0"/>
    <w:pPr>
      <w:tabs>
        <w:tab w:val="right" w:leader="dot" w:pos="9241"/>
      </w:tabs>
      <w:ind w:firstLine="607" w:firstLineChars="600"/>
      <w:jc w:val="left"/>
    </w:pPr>
    <w:rPr>
      <w:rFonts w:ascii="宋体"/>
      <w:szCs w:val="21"/>
    </w:rPr>
  </w:style>
  <w:style w:type="paragraph" w:customStyle="1" w:styleId="107">
    <w:name w:val="目录 91"/>
    <w:basedOn w:val="1"/>
    <w:next w:val="1"/>
    <w:semiHidden/>
    <w:qFormat/>
    <w:uiPriority w:val="0"/>
    <w:pPr>
      <w:ind w:left="1470"/>
      <w:jc w:val="left"/>
    </w:pPr>
    <w:rPr>
      <w:sz w:val="20"/>
      <w:szCs w:val="20"/>
    </w:rPr>
  </w:style>
  <w:style w:type="paragraph" w:customStyle="1" w:styleId="108">
    <w:name w:val="其他标准标志"/>
    <w:basedOn w:val="58"/>
    <w:qFormat/>
    <w:uiPriority w:val="0"/>
    <w:pPr>
      <w:framePr w:w="6101" w:wrap="around" w:vAnchor="page" w:hAnchor="page" w:x="4673" w:y="942"/>
    </w:pPr>
    <w:rPr>
      <w:w w:val="130"/>
    </w:rPr>
  </w:style>
  <w:style w:type="paragraph" w:customStyle="1" w:styleId="109">
    <w:name w:val="其他标准称谓"/>
    <w:next w:val="1"/>
    <w:qFormat/>
    <w:uiPriority w:val="0"/>
    <w:pPr>
      <w:framePr w:hSpace="181" w:vSpace="181" w:wrap="around" w:vAnchor="page" w:hAnchor="page" w:x="1419" w:y="2286" w:anchorLock="1"/>
      <w:spacing w:line="0" w:lineRule="atLeast"/>
      <w:jc w:val="distribute"/>
    </w:pPr>
    <w:rPr>
      <w:rFonts w:ascii="黑体" w:hAnsi="宋体" w:eastAsia="黑体" w:cs="Times New Roman"/>
      <w:spacing w:val="-40"/>
      <w:sz w:val="48"/>
      <w:szCs w:val="52"/>
      <w:lang w:val="en-US" w:eastAsia="zh-CN" w:bidi="ar-SA"/>
    </w:rPr>
  </w:style>
  <w:style w:type="paragraph" w:customStyle="1" w:styleId="110">
    <w:name w:val="其他发布部门"/>
    <w:basedOn w:val="66"/>
    <w:qFormat/>
    <w:uiPriority w:val="0"/>
    <w:pPr>
      <w:framePr w:wrap="around" w:y="15310"/>
      <w:spacing w:line="0" w:lineRule="atLeast"/>
    </w:pPr>
    <w:rPr>
      <w:rFonts w:ascii="黑体" w:eastAsia="黑体"/>
      <w:b w:val="0"/>
    </w:rPr>
  </w:style>
  <w:style w:type="paragraph" w:customStyle="1" w:styleId="111">
    <w:name w:val="前言、引言标题"/>
    <w:next w:val="17"/>
    <w:qFormat/>
    <w:uiPriority w:val="0"/>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112">
    <w:name w:val="三级无"/>
    <w:basedOn w:val="43"/>
    <w:qFormat/>
    <w:uiPriority w:val="0"/>
    <w:pPr>
      <w:spacing w:before="0" w:beforeLines="0" w:after="0" w:afterLines="0"/>
    </w:pPr>
    <w:rPr>
      <w:rFonts w:ascii="宋体" w:eastAsia="宋体"/>
    </w:rPr>
  </w:style>
  <w:style w:type="paragraph" w:customStyle="1" w:styleId="113">
    <w:name w:val="实施日期"/>
    <w:basedOn w:val="67"/>
    <w:qFormat/>
    <w:uiPriority w:val="0"/>
    <w:pPr>
      <w:framePr w:wrap="around" w:vAnchor="page" w:hAnchor="text"/>
      <w:jc w:val="right"/>
    </w:pPr>
  </w:style>
  <w:style w:type="paragraph" w:customStyle="1" w:styleId="114">
    <w:name w:val="示例后文字"/>
    <w:basedOn w:val="17"/>
    <w:next w:val="17"/>
    <w:qFormat/>
    <w:uiPriority w:val="0"/>
    <w:pPr>
      <w:ind w:firstLine="360"/>
    </w:pPr>
    <w:rPr>
      <w:sz w:val="18"/>
    </w:rPr>
  </w:style>
  <w:style w:type="paragraph" w:customStyle="1" w:styleId="115">
    <w:name w:val="首示例"/>
    <w:next w:val="17"/>
    <w:link w:val="116"/>
    <w:qFormat/>
    <w:uiPriority w:val="0"/>
    <w:pPr>
      <w:numPr>
        <w:ilvl w:val="0"/>
        <w:numId w:val="14"/>
      </w:numPr>
      <w:tabs>
        <w:tab w:val="left" w:pos="360"/>
      </w:tabs>
      <w:ind w:firstLine="0"/>
    </w:pPr>
    <w:rPr>
      <w:rFonts w:ascii="宋体" w:hAnsi="宋体" w:eastAsia="宋体" w:cs="Times New Roman"/>
      <w:kern w:val="2"/>
      <w:sz w:val="18"/>
      <w:szCs w:val="18"/>
      <w:lang w:val="en-US" w:eastAsia="zh-CN" w:bidi="ar-SA"/>
    </w:rPr>
  </w:style>
  <w:style w:type="character" w:customStyle="1" w:styleId="116">
    <w:name w:val="首示例 Char"/>
    <w:link w:val="115"/>
    <w:qFormat/>
    <w:uiPriority w:val="0"/>
    <w:rPr>
      <w:rFonts w:ascii="宋体" w:hAnsi="宋体"/>
      <w:kern w:val="2"/>
      <w:sz w:val="18"/>
      <w:szCs w:val="18"/>
      <w:lang w:val="en-US" w:eastAsia="zh-CN" w:bidi="ar-SA"/>
    </w:rPr>
  </w:style>
  <w:style w:type="paragraph" w:customStyle="1" w:styleId="117">
    <w:name w:val="四级无"/>
    <w:basedOn w:val="47"/>
    <w:qFormat/>
    <w:uiPriority w:val="0"/>
    <w:pPr>
      <w:spacing w:before="0" w:beforeLines="0" w:after="0" w:afterLines="0"/>
    </w:pPr>
    <w:rPr>
      <w:rFonts w:ascii="宋体" w:eastAsia="宋体"/>
    </w:rPr>
  </w:style>
  <w:style w:type="paragraph" w:customStyle="1" w:styleId="118">
    <w:name w:val="条文脚注"/>
    <w:basedOn w:val="18"/>
    <w:qFormat/>
    <w:uiPriority w:val="0"/>
    <w:pPr>
      <w:numPr>
        <w:numId w:val="0"/>
      </w:numPr>
      <w:jc w:val="both"/>
    </w:pPr>
  </w:style>
  <w:style w:type="paragraph" w:customStyle="1" w:styleId="119">
    <w:name w:val="图标脚注说明"/>
    <w:basedOn w:val="17"/>
    <w:qFormat/>
    <w:uiPriority w:val="0"/>
    <w:pPr>
      <w:ind w:left="840" w:hanging="420" w:firstLineChars="0"/>
    </w:pPr>
    <w:rPr>
      <w:sz w:val="18"/>
      <w:szCs w:val="18"/>
    </w:rPr>
  </w:style>
  <w:style w:type="paragraph" w:customStyle="1" w:styleId="120">
    <w:name w:val="图表脚注说明"/>
    <w:basedOn w:val="1"/>
    <w:qFormat/>
    <w:uiPriority w:val="0"/>
    <w:pPr>
      <w:numPr>
        <w:ilvl w:val="0"/>
        <w:numId w:val="15"/>
      </w:numPr>
    </w:pPr>
    <w:rPr>
      <w:rFonts w:ascii="宋体"/>
      <w:sz w:val="18"/>
      <w:szCs w:val="18"/>
    </w:rPr>
  </w:style>
  <w:style w:type="paragraph" w:customStyle="1" w:styleId="121">
    <w:name w:val="图的脚注"/>
    <w:next w:val="17"/>
    <w:qFormat/>
    <w:uiPriority w:val="0"/>
    <w:pPr>
      <w:widowControl w:val="0"/>
      <w:ind w:left="840" w:leftChars="200" w:hanging="420" w:hangingChars="200"/>
      <w:jc w:val="both"/>
    </w:pPr>
    <w:rPr>
      <w:rFonts w:ascii="宋体" w:hAnsi="Times New Roman" w:eastAsia="宋体" w:cs="Times New Roman"/>
      <w:sz w:val="18"/>
      <w:lang w:val="en-US" w:eastAsia="zh-CN" w:bidi="ar-SA"/>
    </w:rPr>
  </w:style>
  <w:style w:type="paragraph" w:customStyle="1" w:styleId="122">
    <w:name w:val="文献分类号"/>
    <w:qFormat/>
    <w:uiPriority w:val="0"/>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123">
    <w:name w:val="五级无"/>
    <w:basedOn w:val="48"/>
    <w:qFormat/>
    <w:uiPriority w:val="0"/>
    <w:pPr>
      <w:spacing w:before="0" w:beforeLines="0" w:after="0" w:afterLines="0"/>
    </w:pPr>
    <w:rPr>
      <w:rFonts w:ascii="宋体" w:eastAsia="宋体"/>
    </w:rPr>
  </w:style>
  <w:style w:type="paragraph" w:customStyle="1" w:styleId="124">
    <w:name w:val="一级无"/>
    <w:basedOn w:val="34"/>
    <w:qFormat/>
    <w:uiPriority w:val="0"/>
    <w:pPr>
      <w:spacing w:before="0" w:beforeLines="0" w:after="0" w:afterLines="0"/>
    </w:pPr>
    <w:rPr>
      <w:rFonts w:ascii="宋体" w:eastAsia="宋体"/>
    </w:rPr>
  </w:style>
  <w:style w:type="character" w:customStyle="1" w:styleId="125">
    <w:name w:val="已访问的超链接1"/>
    <w:qFormat/>
    <w:uiPriority w:val="0"/>
    <w:rPr>
      <w:color w:val="800080"/>
      <w:u w:val="single"/>
    </w:rPr>
  </w:style>
  <w:style w:type="paragraph" w:customStyle="1" w:styleId="126">
    <w:name w:val="正文表标题"/>
    <w:next w:val="17"/>
    <w:qFormat/>
    <w:uiPriority w:val="0"/>
    <w:pPr>
      <w:numPr>
        <w:ilvl w:val="0"/>
        <w:numId w:val="16"/>
      </w:numPr>
      <w:tabs>
        <w:tab w:val="left" w:pos="360"/>
      </w:tabs>
      <w:spacing w:before="156" w:beforeLines="50" w:after="156" w:afterLines="50"/>
      <w:jc w:val="center"/>
    </w:pPr>
    <w:rPr>
      <w:rFonts w:ascii="黑体" w:hAnsi="Times New Roman" w:eastAsia="黑体" w:cs="Times New Roman"/>
      <w:sz w:val="21"/>
      <w:lang w:val="en-US" w:eastAsia="zh-CN" w:bidi="ar-SA"/>
    </w:rPr>
  </w:style>
  <w:style w:type="paragraph" w:customStyle="1" w:styleId="127">
    <w:name w:val="正文公式编号制表符"/>
    <w:basedOn w:val="17"/>
    <w:next w:val="17"/>
    <w:qFormat/>
    <w:uiPriority w:val="0"/>
    <w:pPr>
      <w:ind w:firstLine="0" w:firstLineChars="0"/>
    </w:pPr>
  </w:style>
  <w:style w:type="paragraph" w:customStyle="1" w:styleId="128">
    <w:name w:val="正文图标题"/>
    <w:next w:val="17"/>
    <w:qFormat/>
    <w:uiPriority w:val="0"/>
    <w:pPr>
      <w:numPr>
        <w:ilvl w:val="0"/>
        <w:numId w:val="17"/>
      </w:numPr>
      <w:tabs>
        <w:tab w:val="left" w:pos="360"/>
      </w:tabs>
      <w:spacing w:before="156" w:beforeLines="50" w:after="156" w:afterLines="50"/>
      <w:jc w:val="center"/>
    </w:pPr>
    <w:rPr>
      <w:rFonts w:ascii="黑体" w:hAnsi="Times New Roman" w:eastAsia="黑体" w:cs="Times New Roman"/>
      <w:sz w:val="21"/>
      <w:lang w:val="en-US" w:eastAsia="zh-CN" w:bidi="ar-SA"/>
    </w:rPr>
  </w:style>
  <w:style w:type="paragraph" w:customStyle="1" w:styleId="129">
    <w:name w:val="终结线"/>
    <w:basedOn w:val="1"/>
    <w:qFormat/>
    <w:uiPriority w:val="0"/>
    <w:pPr>
      <w:framePr w:hSpace="181" w:vSpace="181" w:wrap="around" w:vAnchor="text" w:hAnchor="margin" w:xAlign="center" w:y="285"/>
    </w:pPr>
  </w:style>
  <w:style w:type="paragraph" w:customStyle="1" w:styleId="130">
    <w:name w:val="其他发布日期"/>
    <w:basedOn w:val="67"/>
    <w:qFormat/>
    <w:uiPriority w:val="0"/>
    <w:pPr>
      <w:framePr w:wrap="around" w:vAnchor="page" w:hAnchor="text" w:x="1419"/>
    </w:pPr>
  </w:style>
  <w:style w:type="paragraph" w:customStyle="1" w:styleId="131">
    <w:name w:val="其他实施日期"/>
    <w:basedOn w:val="113"/>
    <w:qFormat/>
    <w:uiPriority w:val="0"/>
    <w:pPr>
      <w:framePr w:wrap="around"/>
    </w:pPr>
  </w:style>
  <w:style w:type="paragraph" w:customStyle="1" w:styleId="132">
    <w:name w:val="封面标准名称2"/>
    <w:basedOn w:val="70"/>
    <w:qFormat/>
    <w:uiPriority w:val="0"/>
    <w:pPr>
      <w:framePr w:wrap="around" w:y="4469"/>
      <w:spacing w:before="630" w:beforeLines="630"/>
    </w:pPr>
  </w:style>
  <w:style w:type="paragraph" w:customStyle="1" w:styleId="133">
    <w:name w:val="封面标准英文名称2"/>
    <w:basedOn w:val="71"/>
    <w:qFormat/>
    <w:uiPriority w:val="0"/>
    <w:pPr>
      <w:framePr w:wrap="around" w:y="4469"/>
    </w:pPr>
  </w:style>
  <w:style w:type="paragraph" w:customStyle="1" w:styleId="134">
    <w:name w:val="封面一致性程度标识2"/>
    <w:basedOn w:val="72"/>
    <w:qFormat/>
    <w:uiPriority w:val="0"/>
    <w:pPr>
      <w:framePr w:wrap="around" w:y="4469"/>
    </w:pPr>
  </w:style>
  <w:style w:type="paragraph" w:customStyle="1" w:styleId="135">
    <w:name w:val="封面标准文稿类别2"/>
    <w:basedOn w:val="73"/>
    <w:qFormat/>
    <w:uiPriority w:val="0"/>
    <w:pPr>
      <w:framePr w:wrap="around" w:y="4469"/>
    </w:pPr>
  </w:style>
  <w:style w:type="paragraph" w:customStyle="1" w:styleId="136">
    <w:name w:val="封面标准文稿编辑信息2"/>
    <w:basedOn w:val="74"/>
    <w:qFormat/>
    <w:uiPriority w:val="0"/>
    <w:pPr>
      <w:framePr w:wrap="around" w:y="4469"/>
    </w:pPr>
  </w:style>
  <w:style w:type="paragraph" w:customStyle="1" w:styleId="137">
    <w:name w:val="a"/>
    <w:basedOn w:val="1"/>
    <w:qFormat/>
    <w:uiPriority w:val="0"/>
    <w:pPr>
      <w:widowControl/>
      <w:spacing w:before="100" w:beforeAutospacing="1" w:after="100" w:afterAutospacing="1"/>
      <w:jc w:val="left"/>
    </w:pPr>
    <w:rPr>
      <w:rFonts w:ascii="宋体" w:hAnsi="宋体" w:cs="宋体"/>
      <w:kern w:val="0"/>
      <w:sz w:val="24"/>
    </w:rPr>
  </w:style>
  <w:style w:type="paragraph" w:customStyle="1" w:styleId="138">
    <w:name w:val="目录 11"/>
    <w:basedOn w:val="1"/>
    <w:next w:val="1"/>
    <w:qFormat/>
    <w:uiPriority w:val="39"/>
    <w:pPr>
      <w:tabs>
        <w:tab w:val="right" w:leader="dot" w:pos="9241"/>
      </w:tabs>
      <w:spacing w:before="25" w:beforeLines="25" w:after="25" w:afterLines="25"/>
      <w:jc w:val="left"/>
    </w:pPr>
    <w:rPr>
      <w:rFonts w:ascii="宋体"/>
      <w:szCs w:val="21"/>
    </w:rPr>
  </w:style>
  <w:style w:type="paragraph" w:customStyle="1" w:styleId="139">
    <w:name w:val="目录 21"/>
    <w:basedOn w:val="1"/>
    <w:next w:val="1"/>
    <w:semiHidden/>
    <w:qFormat/>
    <w:uiPriority w:val="0"/>
    <w:pPr>
      <w:tabs>
        <w:tab w:val="right" w:leader="dot" w:pos="9241"/>
      </w:tabs>
    </w:pPr>
    <w:rPr>
      <w:rFonts w:ascii="宋体"/>
      <w:szCs w:val="21"/>
    </w:rPr>
  </w:style>
  <w:style w:type="character" w:customStyle="1" w:styleId="140">
    <w:name w:val="批注框文本 字符"/>
    <w:link w:val="11"/>
    <w:qFormat/>
    <w:uiPriority w:val="0"/>
    <w:rPr>
      <w:kern w:val="2"/>
      <w:sz w:val="18"/>
      <w:szCs w:val="18"/>
    </w:rPr>
  </w:style>
  <w:style w:type="character" w:customStyle="1" w:styleId="141">
    <w:name w:val="批注文字 字符"/>
    <w:basedOn w:val="26"/>
    <w:link w:val="6"/>
    <w:qFormat/>
    <w:uiPriority w:val="0"/>
    <w:rPr>
      <w:kern w:val="2"/>
      <w:sz w:val="21"/>
      <w:szCs w:val="24"/>
    </w:rPr>
  </w:style>
  <w:style w:type="character" w:customStyle="1" w:styleId="142">
    <w:name w:val="批注主题 字符"/>
    <w:basedOn w:val="141"/>
    <w:link w:val="23"/>
    <w:qFormat/>
    <w:uiPriority w:val="0"/>
    <w:rPr>
      <w:b/>
      <w:bCs/>
      <w:kern w:val="2"/>
      <w:sz w:val="21"/>
      <w:szCs w:val="24"/>
    </w:rPr>
  </w:style>
  <w:style w:type="paragraph" w:customStyle="1" w:styleId="143">
    <w:name w:val="标准正文文本"/>
    <w:basedOn w:val="1"/>
    <w:qFormat/>
    <w:uiPriority w:val="0"/>
    <w:pPr>
      <w:snapToGrid w:val="0"/>
      <w:spacing w:before="50" w:beforeLines="50" w:after="50" w:afterLines="50"/>
      <w:ind w:firstLine="200" w:firstLineChars="200"/>
      <w:jc w:val="left"/>
    </w:pPr>
    <w:rPr>
      <w:rFonts w:ascii="宋体" w:hAnsi="宋体"/>
      <w:sz w:val="24"/>
    </w:rPr>
  </w:style>
  <w:style w:type="paragraph" w:customStyle="1" w:styleId="144">
    <w:name w:val="标准二级标题"/>
    <w:basedOn w:val="37"/>
    <w:qFormat/>
    <w:uiPriority w:val="0"/>
    <w:pPr>
      <w:numPr>
        <w:numId w:val="0"/>
      </w:numPr>
      <w:spacing w:before="50" w:beforeLines="50" w:after="50" w:afterLines="50"/>
    </w:pPr>
    <w:rPr>
      <w:rFonts w:ascii="宋体" w:hAnsi="宋体"/>
      <w:color w:val="000000"/>
      <w:sz w:val="24"/>
      <w:szCs w:val="24"/>
    </w:rPr>
  </w:style>
  <w:style w:type="paragraph" w:customStyle="1" w:styleId="145">
    <w:name w:val="WPSOffice手动目录 1"/>
    <w:qFormat/>
    <w:uiPriority w:val="0"/>
    <w:rPr>
      <w:rFonts w:ascii="Times New Roman" w:hAnsi="Times New Roman" w:eastAsia="宋体" w:cs="Times New Roman"/>
      <w:lang w:val="en-US" w:eastAsia="zh-CN" w:bidi="ar-SA"/>
    </w:rPr>
  </w:style>
  <w:style w:type="paragraph" w:customStyle="1" w:styleId="146">
    <w:name w:val="修订1"/>
    <w:hidden/>
    <w:unhideWhenUsed/>
    <w:qFormat/>
    <w:uiPriority w:val="99"/>
    <w:rPr>
      <w:rFonts w:ascii="Times New Roman" w:hAnsi="Times New Roman" w:eastAsia="宋体" w:cs="Times New Roman"/>
      <w:kern w:val="2"/>
      <w:sz w:val="21"/>
      <w:szCs w:val="24"/>
      <w:lang w:val="en-US" w:eastAsia="zh-CN"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3" Type="http://schemas.openxmlformats.org/officeDocument/2006/relationships/fontTable" Target="fontTable.xml"/><Relationship Id="rId92" Type="http://schemas.microsoft.com/office/2006/relationships/keyMapCustomizations" Target="customizations.xml"/><Relationship Id="rId91" Type="http://schemas.openxmlformats.org/officeDocument/2006/relationships/customXml" Target="../customXml/item3.xml"/><Relationship Id="rId90" Type="http://schemas.openxmlformats.org/officeDocument/2006/relationships/customXml" Target="../customXml/item2.xml"/><Relationship Id="rId9" Type="http://schemas.openxmlformats.org/officeDocument/2006/relationships/image" Target="media/image1.emf"/><Relationship Id="rId89" Type="http://schemas.openxmlformats.org/officeDocument/2006/relationships/numbering" Target="numbering.xml"/><Relationship Id="rId88" Type="http://schemas.openxmlformats.org/officeDocument/2006/relationships/customXml" Target="../customXml/item1.xml"/><Relationship Id="rId87" Type="http://schemas.openxmlformats.org/officeDocument/2006/relationships/image" Target="media/image41.emf"/><Relationship Id="rId86" Type="http://schemas.openxmlformats.org/officeDocument/2006/relationships/package" Target="embeddings/Microsoft_Visio___39.vsdx"/><Relationship Id="rId85" Type="http://schemas.openxmlformats.org/officeDocument/2006/relationships/image" Target="media/image40.emf"/><Relationship Id="rId84" Type="http://schemas.openxmlformats.org/officeDocument/2006/relationships/package" Target="embeddings/Microsoft_Visio___38.vsdx"/><Relationship Id="rId83" Type="http://schemas.openxmlformats.org/officeDocument/2006/relationships/image" Target="media/image39.emf"/><Relationship Id="rId82" Type="http://schemas.openxmlformats.org/officeDocument/2006/relationships/package" Target="embeddings/Microsoft_Visio___37.vsdx"/><Relationship Id="rId81" Type="http://schemas.openxmlformats.org/officeDocument/2006/relationships/image" Target="media/image38.emf"/><Relationship Id="rId80" Type="http://schemas.openxmlformats.org/officeDocument/2006/relationships/package" Target="embeddings/Microsoft_Visio___36.vsdx"/><Relationship Id="rId8" Type="http://schemas.openxmlformats.org/officeDocument/2006/relationships/package" Target="embeddings/Microsoft_Visio___1.vsdx"/><Relationship Id="rId79" Type="http://schemas.openxmlformats.org/officeDocument/2006/relationships/image" Target="media/image37.emf"/><Relationship Id="rId78" Type="http://schemas.openxmlformats.org/officeDocument/2006/relationships/package" Target="embeddings/Microsoft_Visio___35.vsdx"/><Relationship Id="rId77" Type="http://schemas.openxmlformats.org/officeDocument/2006/relationships/image" Target="media/image36.emf"/><Relationship Id="rId76" Type="http://schemas.openxmlformats.org/officeDocument/2006/relationships/package" Target="embeddings/Microsoft_Visio___34.vsdx"/><Relationship Id="rId75" Type="http://schemas.openxmlformats.org/officeDocument/2006/relationships/image" Target="media/image35.emf"/><Relationship Id="rId74" Type="http://schemas.openxmlformats.org/officeDocument/2006/relationships/package" Target="embeddings/Microsoft_Visio___33.vsdx"/><Relationship Id="rId73" Type="http://schemas.openxmlformats.org/officeDocument/2006/relationships/image" Target="media/image34.emf"/><Relationship Id="rId72" Type="http://schemas.openxmlformats.org/officeDocument/2006/relationships/package" Target="embeddings/Microsoft_Visio___32.vsdx"/><Relationship Id="rId71" Type="http://schemas.openxmlformats.org/officeDocument/2006/relationships/image" Target="media/image33.emf"/><Relationship Id="rId70" Type="http://schemas.openxmlformats.org/officeDocument/2006/relationships/package" Target="embeddings/Microsoft_Visio___31.vsdx"/><Relationship Id="rId7" Type="http://schemas.openxmlformats.org/officeDocument/2006/relationships/theme" Target="theme/theme1.xml"/><Relationship Id="rId69" Type="http://schemas.openxmlformats.org/officeDocument/2006/relationships/image" Target="media/image32.emf"/><Relationship Id="rId68" Type="http://schemas.openxmlformats.org/officeDocument/2006/relationships/package" Target="embeddings/Microsoft_Visio___30.vsdx"/><Relationship Id="rId67" Type="http://schemas.openxmlformats.org/officeDocument/2006/relationships/image" Target="media/image31.emf"/><Relationship Id="rId66" Type="http://schemas.openxmlformats.org/officeDocument/2006/relationships/package" Target="embeddings/Microsoft_Visio___29.vsdx"/><Relationship Id="rId65" Type="http://schemas.openxmlformats.org/officeDocument/2006/relationships/image" Target="media/image30.emf"/><Relationship Id="rId64" Type="http://schemas.openxmlformats.org/officeDocument/2006/relationships/package" Target="embeddings/Microsoft_Visio___28.vsdx"/><Relationship Id="rId63" Type="http://schemas.openxmlformats.org/officeDocument/2006/relationships/image" Target="media/image29.emf"/><Relationship Id="rId62" Type="http://schemas.openxmlformats.org/officeDocument/2006/relationships/package" Target="embeddings/Microsoft_Visio___27.vsdx"/><Relationship Id="rId61" Type="http://schemas.openxmlformats.org/officeDocument/2006/relationships/image" Target="media/image28.emf"/><Relationship Id="rId60" Type="http://schemas.openxmlformats.org/officeDocument/2006/relationships/package" Target="embeddings/Microsoft_Visio___26.vsdx"/><Relationship Id="rId6" Type="http://schemas.openxmlformats.org/officeDocument/2006/relationships/footer" Target="footer2.xml"/><Relationship Id="rId59" Type="http://schemas.openxmlformats.org/officeDocument/2006/relationships/image" Target="media/image27.emf"/><Relationship Id="rId58" Type="http://schemas.openxmlformats.org/officeDocument/2006/relationships/package" Target="embeddings/Microsoft_Visio___25.vsdx"/><Relationship Id="rId57" Type="http://schemas.openxmlformats.org/officeDocument/2006/relationships/image" Target="media/image26.emf"/><Relationship Id="rId56" Type="http://schemas.openxmlformats.org/officeDocument/2006/relationships/package" Target="embeddings/Microsoft_Visio___24.vsdx"/><Relationship Id="rId55" Type="http://schemas.openxmlformats.org/officeDocument/2006/relationships/image" Target="media/image25.emf"/><Relationship Id="rId54" Type="http://schemas.openxmlformats.org/officeDocument/2006/relationships/package" Target="embeddings/Microsoft_Visio___23.vsdx"/><Relationship Id="rId53" Type="http://schemas.openxmlformats.org/officeDocument/2006/relationships/image" Target="media/image24.emf"/><Relationship Id="rId52" Type="http://schemas.openxmlformats.org/officeDocument/2006/relationships/package" Target="embeddings/Microsoft_Visio___22.vsdx"/><Relationship Id="rId51" Type="http://schemas.openxmlformats.org/officeDocument/2006/relationships/image" Target="media/image23.png"/><Relationship Id="rId50" Type="http://schemas.openxmlformats.org/officeDocument/2006/relationships/image" Target="media/image22.emf"/><Relationship Id="rId5" Type="http://schemas.openxmlformats.org/officeDocument/2006/relationships/header" Target="header2.xml"/><Relationship Id="rId49" Type="http://schemas.openxmlformats.org/officeDocument/2006/relationships/package" Target="embeddings/Microsoft_Visio___21.vsdx"/><Relationship Id="rId48" Type="http://schemas.openxmlformats.org/officeDocument/2006/relationships/image" Target="media/image21.emf"/><Relationship Id="rId47" Type="http://schemas.openxmlformats.org/officeDocument/2006/relationships/package" Target="embeddings/Microsoft_Visio___20.vsdx"/><Relationship Id="rId46" Type="http://schemas.openxmlformats.org/officeDocument/2006/relationships/image" Target="media/image20.emf"/><Relationship Id="rId45" Type="http://schemas.openxmlformats.org/officeDocument/2006/relationships/package" Target="embeddings/Microsoft_Visio___19.vsdx"/><Relationship Id="rId44" Type="http://schemas.openxmlformats.org/officeDocument/2006/relationships/image" Target="media/image19.emf"/><Relationship Id="rId43" Type="http://schemas.openxmlformats.org/officeDocument/2006/relationships/package" Target="embeddings/Microsoft_Visio___18.vsdx"/><Relationship Id="rId42" Type="http://schemas.openxmlformats.org/officeDocument/2006/relationships/image" Target="media/image18.png"/><Relationship Id="rId41" Type="http://schemas.openxmlformats.org/officeDocument/2006/relationships/image" Target="media/image17.emf"/><Relationship Id="rId40" Type="http://schemas.openxmlformats.org/officeDocument/2006/relationships/package" Target="embeddings/Microsoft_Visio___17.vsdx"/><Relationship Id="rId4" Type="http://schemas.openxmlformats.org/officeDocument/2006/relationships/footer" Target="footer1.xml"/><Relationship Id="rId39" Type="http://schemas.openxmlformats.org/officeDocument/2006/relationships/image" Target="media/image16.emf"/><Relationship Id="rId38" Type="http://schemas.openxmlformats.org/officeDocument/2006/relationships/package" Target="embeddings/Microsoft_Visio___16.vsdx"/><Relationship Id="rId37" Type="http://schemas.openxmlformats.org/officeDocument/2006/relationships/image" Target="media/image15.emf"/><Relationship Id="rId36" Type="http://schemas.openxmlformats.org/officeDocument/2006/relationships/package" Target="embeddings/Microsoft_Visio___15.vsdx"/><Relationship Id="rId35" Type="http://schemas.openxmlformats.org/officeDocument/2006/relationships/image" Target="media/image14.emf"/><Relationship Id="rId34" Type="http://schemas.openxmlformats.org/officeDocument/2006/relationships/package" Target="embeddings/Microsoft_Visio___14.vsdx"/><Relationship Id="rId33" Type="http://schemas.openxmlformats.org/officeDocument/2006/relationships/image" Target="media/image13.emf"/><Relationship Id="rId32" Type="http://schemas.openxmlformats.org/officeDocument/2006/relationships/package" Target="embeddings/Microsoft_Visio___13.vsdx"/><Relationship Id="rId31" Type="http://schemas.openxmlformats.org/officeDocument/2006/relationships/image" Target="media/image12.emf"/><Relationship Id="rId30" Type="http://schemas.openxmlformats.org/officeDocument/2006/relationships/package" Target="embeddings/Microsoft_Visio___12.vsdx"/><Relationship Id="rId3" Type="http://schemas.openxmlformats.org/officeDocument/2006/relationships/header" Target="header1.xml"/><Relationship Id="rId29" Type="http://schemas.openxmlformats.org/officeDocument/2006/relationships/image" Target="media/image11.emf"/><Relationship Id="rId28" Type="http://schemas.openxmlformats.org/officeDocument/2006/relationships/package" Target="embeddings/Microsoft_Visio___11.vsdx"/><Relationship Id="rId27" Type="http://schemas.openxmlformats.org/officeDocument/2006/relationships/image" Target="media/image10.emf"/><Relationship Id="rId26" Type="http://schemas.openxmlformats.org/officeDocument/2006/relationships/package" Target="embeddings/Microsoft_Visio___10.vsdx"/><Relationship Id="rId25" Type="http://schemas.openxmlformats.org/officeDocument/2006/relationships/image" Target="media/image9.emf"/><Relationship Id="rId24" Type="http://schemas.openxmlformats.org/officeDocument/2006/relationships/package" Target="embeddings/Microsoft_Visio___9.vsdx"/><Relationship Id="rId23" Type="http://schemas.openxmlformats.org/officeDocument/2006/relationships/image" Target="media/image8.emf"/><Relationship Id="rId22" Type="http://schemas.openxmlformats.org/officeDocument/2006/relationships/package" Target="embeddings/Microsoft_Visio___8.vsdx"/><Relationship Id="rId21" Type="http://schemas.openxmlformats.org/officeDocument/2006/relationships/image" Target="media/image7.emf"/><Relationship Id="rId20" Type="http://schemas.openxmlformats.org/officeDocument/2006/relationships/package" Target="embeddings/Microsoft_Visio___7.vsdx"/><Relationship Id="rId2" Type="http://schemas.openxmlformats.org/officeDocument/2006/relationships/settings" Target="settings.xml"/><Relationship Id="rId19" Type="http://schemas.openxmlformats.org/officeDocument/2006/relationships/image" Target="media/image6.emf"/><Relationship Id="rId18" Type="http://schemas.openxmlformats.org/officeDocument/2006/relationships/package" Target="embeddings/Microsoft_Visio___6.vsdx"/><Relationship Id="rId17" Type="http://schemas.openxmlformats.org/officeDocument/2006/relationships/image" Target="media/image5.emf"/><Relationship Id="rId16" Type="http://schemas.openxmlformats.org/officeDocument/2006/relationships/package" Target="embeddings/Microsoft_Visio___5.vsdx"/><Relationship Id="rId15" Type="http://schemas.openxmlformats.org/officeDocument/2006/relationships/image" Target="media/image4.emf"/><Relationship Id="rId14" Type="http://schemas.openxmlformats.org/officeDocument/2006/relationships/package" Target="embeddings/Microsoft_Visio___4.vsdx"/><Relationship Id="rId13" Type="http://schemas.openxmlformats.org/officeDocument/2006/relationships/image" Target="media/image3.emf"/><Relationship Id="rId12" Type="http://schemas.openxmlformats.org/officeDocument/2006/relationships/package" Target="embeddings/Microsoft_Visio___3.vsdx"/><Relationship Id="rId11" Type="http://schemas.openxmlformats.org/officeDocument/2006/relationships/image" Target="media/image2.emf"/><Relationship Id="rId10" Type="http://schemas.openxmlformats.org/officeDocument/2006/relationships/package" Target="embeddings/Microsoft_Visio___2.vsdx"/><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ontractReview xmlns="http://schemas.wps.cn/vas-ai-hub/contract-review">
  <reviewItems>
    <reviewItem>
      <errorID>566d4b37-1179-482c-b043-e7d5dc43ac6a</errorID>
      <errorWord>在线监测装置</errorWord>
      <group>L1_Knowledge</group>
      <groupName>知识性问题</groupName>
      <ability>L2_Term</ability>
      <abilityName>专业术语</abilityName>
      <candidateList>
        <item>在线检测装置</item>
      </candidateList>
      <explain/>
      <paraID>72BD8614</paraID>
      <start>51</start>
      <end>57</end>
      <status>ignored</status>
      <modifiedWord/>
      <trackRevisions>false</trackRevisions>
    </reviewItem>
    <reviewItem>
      <errorID>cd58ce58-e497-40a8-883a-3f2fda4e38a2</errorID>
      <errorWord>起</errorWord>
      <group>L1_Word</group>
      <groupName>字词问题</groupName>
      <ability>L2_Typo</ability>
      <abilityName>字词错误</abilityName>
      <candidateList>
        <item>起到</item>
      </candidateList>
      <explain/>
      <paraID>5620CC06</paraID>
      <start>32</start>
      <end>34</end>
      <status>modified</status>
      <modifiedWord>起到</modifiedWord>
      <trackRevisions>false</trackRevisions>
    </reviewItem>
    <reviewItem>
      <errorID>9f6ca9cf-1462-4b29-a8a2-c1b373d9fa77</errorID>
      <errorWord>分割</errorWord>
      <group>L1_Word</group>
      <groupName>字词问题</groupName>
      <ability>L2_Typo</ability>
      <abilityName>字词错误</abilityName>
      <candidateList>
        <item>分隔</item>
      </candidateList>
      <explain/>
      <paraID>2B9627F1</paraID>
      <start>93</start>
      <end>95</end>
      <status>modified</status>
      <modifiedWord>分隔</modifiedWord>
      <trackRevisions>false</trackRevisions>
    </reviewItem>
    <reviewItem>
      <errorID>d0cc2710-b5be-423b-bd13-a1b53d367304</errorID>
      <errorWord>:</errorWord>
      <group>L1_Format</group>
      <groupName>格式问题</groupName>
      <ability>L2_HalfPunc</ability>
      <abilityName>全半角检查</abilityName>
      <candidateList>
        <item>：</item>
      </candidateList>
      <explain>文本全半角错误。</explain>
      <paraID>6E7C1EA8</paraID>
      <start>2</start>
      <end>3</end>
      <status>unmodified</status>
      <modifiedWord/>
      <trackRevisions>false</trackRevisions>
    </reviewItem>
    <reviewItem>
      <errorID>dbbefabe-8b9b-428d-b9ca-e6facd69af76</errorID>
      <errorWord>:</errorWord>
      <group>L1_Format</group>
      <groupName>格式问题</groupName>
      <ability>L2_HalfPunc</ability>
      <abilityName>全半角检查</abilityName>
      <candidateList>
        <item>：</item>
      </candidateList>
      <explain>文本全半角错误。</explain>
      <paraID>4B02E4F3</paraID>
      <start>2</start>
      <end>3</end>
      <status>unmodified</status>
      <modifiedWord/>
      <trackRevisions>false</trackRevisions>
    </reviewItem>
    <reviewItem>
      <errorID>4b27f263-fbab-4ec5-b53c-115a06d5f498</errorID>
      <errorWord>(</errorWord>
      <group>L1_Format</group>
      <groupName>格式问题</groupName>
      <ability>L2_HalfPunc</ability>
      <abilityName>全半角检查</abilityName>
      <candidateList>
        <item>（</item>
      </candidateList>
      <explain>文本全半角错误。</explain>
      <paraID>690C094C</paraID>
      <start>24</start>
      <end>25</end>
      <status>unmodified</status>
      <modifiedWord/>
      <trackRevisions>false</trackRevisions>
    </reviewItem>
    <reviewItem>
      <errorID>b0ae54aa-b3a1-42d8-9fec-4b3c93f5ef76</errorID>
      <errorWord>)</errorWord>
      <group>L1_Format</group>
      <groupName>格式问题</groupName>
      <ability>L2_HalfPunc</ability>
      <abilityName>全半角检查</abilityName>
      <candidateList>
        <item>）</item>
      </candidateList>
      <explain>文本全半角错误。</explain>
      <paraID>690C094C</paraID>
      <start>32</start>
      <end>33</end>
      <status>unmodified</status>
      <modifiedWord/>
      <trackRevisions>false</trackRevisions>
    </reviewItem>
    <reviewItem>
      <errorID>aa58b74a-1cf0-47be-9d03-821785079a13</errorID>
      <errorWord>(</errorWord>
      <group>L1_Format</group>
      <groupName>格式问题</groupName>
      <ability>L2_HalfPunc</ability>
      <abilityName>全半角检查</abilityName>
      <candidateList>
        <item>（</item>
      </candidateList>
      <explain>文本全半角错误。</explain>
      <paraID>7B701319</paraID>
      <start>129</start>
      <end>130</end>
      <status>unmodified</status>
      <modifiedWord/>
      <trackRevisions>false</trackRevisions>
    </reviewItem>
    <reviewItem>
      <errorID>e78685b0-7db1-466e-aac6-40f8b142157c</errorID>
      <errorWord>)</errorWord>
      <group>L1_Format</group>
      <groupName>格式问题</groupName>
      <ability>L2_HalfPunc</ability>
      <abilityName>全半角检查</abilityName>
      <candidateList>
        <item>）</item>
      </candidateList>
      <explain>文本全半角错误。</explain>
      <paraID>7B701319</paraID>
      <start>134</start>
      <end>135</end>
      <status>unmodified</status>
      <modifiedWord/>
      <trackRevisions>false</trackRevisions>
    </reviewItem>
    <reviewItem>
      <errorID>9530589a-8e89-47a1-bc3b-5dfad37c55c0</errorID>
      <errorWord>(</errorWord>
      <group>L1_Format</group>
      <groupName>格式问题</groupName>
      <ability>L2_HalfPunc</ability>
      <abilityName>全半角检查</abilityName>
      <candidateList>
        <item>（</item>
      </candidateList>
      <explain>文本全半角错误。</explain>
      <paraID>7B701319</paraID>
      <start>157</start>
      <end>158</end>
      <status>unmodified</status>
      <modifiedWord/>
      <trackRevisions>false</trackRevisions>
    </reviewItem>
    <reviewItem>
      <errorID>5e047aa2-71dc-4bb5-9043-0e5022e9d91b</errorID>
      <errorWord>)</errorWord>
      <group>L1_Format</group>
      <groupName>格式问题</groupName>
      <ability>L2_HalfPunc</ability>
      <abilityName>全半角检查</abilityName>
      <candidateList>
        <item>）</item>
      </candidateList>
      <explain>文本全半角错误。</explain>
      <paraID>7B701319</paraID>
      <start>167</start>
      <end>168</end>
      <status>unmodified</status>
      <modifiedWord/>
      <trackRevisions>false</trackRevisions>
    </reviewItem>
    <reviewItem>
      <errorID>01bfdc1a-8cc6-4808-aab2-0ff937d2218b</errorID>
      <errorWord>-</errorWord>
      <group>L1_Format</group>
      <groupName>格式问题</groupName>
      <ability>L2_HalfPunc</ability>
      <abilityName>全半角检查</abilityName>
      <candidateList>
        <item>－</item>
      </candidateList>
      <explain>文本全半角错误。</explain>
      <paraID>125D9F6D</paraID>
      <start>34</start>
      <end>35</end>
      <status>unmodified</status>
      <modifiedWord/>
      <trackRevisions>false</trackRevisions>
    </reviewItem>
    <reviewItem>
      <errorID>6b3c667c-4e16-48bf-b0a6-55e52ca9d8e2</errorID>
      <errorWord>侵袭</errorWord>
      <group>L1_Word</group>
      <groupName>字词问题</groupName>
      <ability>L2_Typo</ability>
      <abilityName>字词错误</abilityName>
      <candidateList>
        <item>侵蚀</item>
      </candidateList>
      <explain>〈动〉❶逐渐侵害使变坏：病菌～人体。❷暗中一点一点地侵占（财物）：～公款。</explain>
      <paraID>4FCB213B</paraID>
      <start>22</start>
      <end>24</end>
      <status>modified</status>
      <modifiedWord>侵蚀</modifiedWord>
      <trackRevisions>false</trackRevisions>
    </reviewItem>
    <reviewItem>
      <errorID>8b7cf2d0-bf66-4e97-ae33-cfa962794e4e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50FB205B</paraID>
      <start>0</start>
      <end>2</end>
      <status>unmodified</status>
      <modifiedWord/>
      <trackRevisions>false</trackRevisions>
    </reviewItem>
    <reviewItem>
      <errorID>4ab2c668-ed07-4e79-94e6-daa91161e100</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9E7EC3C</paraID>
      <start>0</start>
      <end>2</end>
      <status>unmodified</status>
      <modifiedWord/>
      <trackRevisions>false</trackRevisions>
    </reviewItem>
    <reviewItem>
      <errorID>4f8eea33-bf94-40c1-b2cf-c33533c3e5dc</errorID>
      <errorWord>累计</errorWord>
      <group>L1_Word</group>
      <groupName>字词问题</groupName>
      <ability>L2_Typo</ability>
      <abilityName>字词错误</abilityName>
      <candidateList>
        <item>累积</item>
      </candidateList>
      <explain>〈动〉层层增加；积聚：～资料｜～财富｜前八个月完成的工程量～起来，已达到全年任务的90％。</explain>
      <paraID>15B0EEC7</paraID>
      <start>6</start>
      <end>8</end>
      <status>unmodified</status>
      <modifiedWord/>
      <trackRevisions>false</trackRevisions>
    </reviewItem>
    <reviewItem>
      <errorID>654fca15-e75f-4d48-bfdb-5a7781192f5b</errorID>
      <errorWord>局部放电实验</errorWord>
      <group>L1_Knowledge</group>
      <groupName>知识性问题</groupName>
      <ability>L2_Term</ability>
      <abilityName>专业术语</abilityName>
      <candidateList>
        <item>局部放电试验</item>
      </candidateList>
      <explain/>
      <paraID> F51D21E</paraID>
      <start>15</start>
      <end>21</end>
      <status>unmodified</status>
      <modifiedWord/>
      <trackRevisions>false</trackRevisions>
    </reviewItem>
    <reviewItem>
      <errorID>c3bcaac0-4cb8-44aa-99f2-db095ad3df75</errorID>
      <errorWord>噪音</errorWord>
      <group>L1_Word</group>
      <groupName>字词问题</groupName>
      <ability>L2_Alias</ability>
      <abilityName>也作/曾用词</abilityName>
      <candidateList>
        <item>噪声</item>
      </candidateList>
      <explain>词汇[噪音]为不规范表述或旧称，其规范书面表述为[噪声]。</explain>
      <paraID>793DDE7A</paraID>
      <start>16</start>
      <end>18</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8906D6C-FB06-4F5D-A6E4-C178E1956F28}">
  <ds:schemaRefs/>
</ds:datastoreItem>
</file>

<file path=customXml/itemProps3.xml><?xml version="1.0" encoding="utf-8"?>
<ds:datastoreItem xmlns:ds="http://schemas.openxmlformats.org/officeDocument/2006/customXml" ds:itemID="{9ACA03E1-0763-4D2A-B926-A9F45F8A5E32}">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20</Pages>
  <Words>6209</Words>
  <Characters>7656</Characters>
  <Lines>84</Lines>
  <Paragraphs>23</Paragraphs>
  <TotalTime>979</TotalTime>
  <ScaleCrop>false</ScaleCrop>
  <LinksUpToDate>false</LinksUpToDate>
  <CharactersWithSpaces>7954</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2024-10-18T09:32:00Z</dcterms:created>
  <dc:creator>CNIS</dc:creator>
  <cp:lastModifiedBy>萌</cp:lastModifiedBy>
  <cp:lastPrinted>2025-12-06T02:18:00Z</cp:lastPrinted>
  <dcterms:modified xsi:type="dcterms:W3CDTF">2026-04-07T01:16:15Z</dcterms:modified>
  <dc:title>标准名称</dc:title>
  <cp:revision>238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1E033A09687D453D8C9BFE666CD1D606_13</vt:lpwstr>
  </property>
  <property fmtid="{D5CDD505-2E9C-101B-9397-08002B2CF9AE}" pid="4" name="KSOTemplateDocerSaveRecord">
    <vt:lpwstr>eyJoZGlkIjoiYjk2OWE4MWExNGJkODRhN2Y4NzZiZDkyOTgwMTI1ZWYiLCJ1c2VySWQiOiIyNzYwNjcxMzcifQ==</vt:lpwstr>
  </property>
</Properties>
</file>